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7161D" w14:textId="77777777" w:rsidR="001F5F84" w:rsidRDefault="001F5F84" w:rsidP="00E0677F">
      <w:pPr>
        <w:jc w:val="center"/>
        <w:rPr>
          <w:rFonts w:ascii="Ministry-Medium" w:hAnsi="Ministry-Medium"/>
          <w:b/>
          <w:sz w:val="36"/>
        </w:rPr>
      </w:pPr>
    </w:p>
    <w:p w14:paraId="28E2F97F" w14:textId="03B6C598" w:rsidR="00DE76C8" w:rsidRPr="00FA40B1" w:rsidRDefault="00DE76C8" w:rsidP="00E0677F">
      <w:pPr>
        <w:jc w:val="center"/>
        <w:rPr>
          <w:rFonts w:ascii="Ministry-Medium" w:hAnsi="Ministry-Medium" w:cs="Times New Roman"/>
          <w:b/>
          <w:bCs/>
          <w:sz w:val="36"/>
          <w:szCs w:val="36"/>
        </w:rPr>
      </w:pPr>
      <w:proofErr w:type="spellStart"/>
      <w:r>
        <w:rPr>
          <w:rFonts w:ascii="Ministry-Medium" w:hAnsi="Ministry-Medium"/>
          <w:b/>
          <w:sz w:val="36"/>
        </w:rPr>
        <w:t>Corum</w:t>
      </w:r>
      <w:proofErr w:type="spellEnd"/>
      <w:r>
        <w:rPr>
          <w:rFonts w:ascii="Ministry-Medium" w:hAnsi="Ministry-Medium"/>
          <w:b/>
          <w:sz w:val="36"/>
        </w:rPr>
        <w:t xml:space="preserve"> révèle la révolutionnaire LAB 02</w:t>
      </w:r>
    </w:p>
    <w:p w14:paraId="7E6755C9" w14:textId="5D530697" w:rsidR="008939D2" w:rsidRPr="00F94E16" w:rsidRDefault="008939D2">
      <w:pPr>
        <w:rPr>
          <w:rFonts w:ascii="Times New Roman" w:hAnsi="Times New Roman" w:cs="Times New Roman"/>
        </w:rPr>
      </w:pPr>
    </w:p>
    <w:p w14:paraId="24E9974B" w14:textId="77777777" w:rsidR="001F5F84" w:rsidRDefault="001F5F84">
      <w:pPr>
        <w:rPr>
          <w:rFonts w:ascii="Century Gothic" w:hAnsi="Century Gothic"/>
          <w:sz w:val="22"/>
        </w:rPr>
      </w:pPr>
    </w:p>
    <w:p w14:paraId="4E5412C4" w14:textId="671ED54B" w:rsidR="008939D2" w:rsidRPr="00FA40B1" w:rsidRDefault="008939D2">
      <w:pPr>
        <w:rPr>
          <w:rFonts w:ascii="Century Gothic" w:eastAsia="PMingLiU" w:hAnsi="Century Gothic" w:cs="Times New Roman"/>
          <w:sz w:val="22"/>
          <w:szCs w:val="22"/>
        </w:rPr>
      </w:pPr>
      <w:r>
        <w:rPr>
          <w:rFonts w:ascii="Century Gothic" w:hAnsi="Century Gothic"/>
          <w:sz w:val="22"/>
        </w:rPr>
        <w:t xml:space="preserve">Dans le prolongement de sa campagne dynamique « Risk is the Reward », Corum propulse le concept de l’innovation vers de nouveaux sommets avec le modèle Corum LAB 02. Défiant toutes les règles de l’horlogerie, cette montre dotée d’une technologie de pointe intègre un mouvement inédit qui a nécessité deux ans de développement. Fort d’un design révolutionnaire, le nouveau calibre se compose d’un engrenage volant et de nombreux autres rouages que la marque utilise pour la première fois. </w:t>
      </w:r>
    </w:p>
    <w:p w14:paraId="3E4F1B3C" w14:textId="7BD49C84" w:rsidR="00E0677F" w:rsidRPr="00FA40B1" w:rsidRDefault="00E0677F">
      <w:pPr>
        <w:rPr>
          <w:rFonts w:ascii="Century Gothic" w:eastAsia="PMingLiU" w:hAnsi="Century Gothic" w:cs="Times New Roman"/>
          <w:sz w:val="22"/>
          <w:szCs w:val="22"/>
        </w:rPr>
      </w:pPr>
    </w:p>
    <w:p w14:paraId="3B4BFC9E" w14:textId="4A1FAD8E" w:rsidR="003F5E95" w:rsidRPr="00FA40B1" w:rsidRDefault="003F5E95">
      <w:pPr>
        <w:rPr>
          <w:rFonts w:ascii="Century Gothic" w:eastAsia="PMingLiU" w:hAnsi="Century Gothic" w:cs="Times New Roman"/>
          <w:sz w:val="22"/>
          <w:szCs w:val="22"/>
        </w:rPr>
      </w:pPr>
      <w:r>
        <w:rPr>
          <w:rFonts w:ascii="Century Gothic" w:hAnsi="Century Gothic"/>
          <w:sz w:val="22"/>
        </w:rPr>
        <w:t xml:space="preserve">La LAB 02 conjugue brillamment perfection esthétique et savoir-faire d’exception. Le mouvement à remontage manuel hautement complexe repousse les limites de l’imagination et les contraintes techniques de l’horlogerie.  Lors de sa création, l’équipe de développement de Corum s’est mise au défi de concevoir non seulement un tourbillon volant, mais également un système d’engrenage volant. Le groupe d’experts a soulevé la question suivante : « Et si le mouvement ne reposait sur aucun pont ? » C’est alors que leur quête inlassable et révolutionnaire a débuté. </w:t>
      </w:r>
    </w:p>
    <w:p w14:paraId="792F3F75" w14:textId="77777777" w:rsidR="003F5E95" w:rsidRPr="00FA40B1" w:rsidRDefault="003F5E95">
      <w:pPr>
        <w:rPr>
          <w:rFonts w:ascii="Century Gothic" w:eastAsia="PMingLiU" w:hAnsi="Century Gothic" w:cs="Times New Roman"/>
          <w:sz w:val="22"/>
          <w:szCs w:val="22"/>
        </w:rPr>
      </w:pPr>
    </w:p>
    <w:p w14:paraId="00ED126F" w14:textId="0FA042F1" w:rsidR="006F5482" w:rsidRPr="00FA40B1" w:rsidRDefault="006F5482" w:rsidP="006F5482">
      <w:pPr>
        <w:rPr>
          <w:rFonts w:ascii="Century Gothic" w:eastAsia="PMingLiU" w:hAnsi="Century Gothic" w:cs="Times New Roman"/>
          <w:sz w:val="22"/>
          <w:szCs w:val="22"/>
        </w:rPr>
      </w:pPr>
      <w:r>
        <w:rPr>
          <w:rFonts w:ascii="Century Gothic" w:hAnsi="Century Gothic"/>
          <w:sz w:val="22"/>
        </w:rPr>
        <w:t>Deux ans plus tard, Corum lance la LAB 02. Son calibre CO 300 est constitué de 416 composants individuels méticuleusement squelettés et soigneusement finis. Chaque pièce est assemblée à la main dans un format unique avec un tourbillon volant à 6 heures, des roues volantes actionnées au rythme des heures, des minutes et des secondes, et le pont fixé directement sur la platine.</w:t>
      </w:r>
    </w:p>
    <w:p w14:paraId="6430090B" w14:textId="21D7E103" w:rsidR="00DA3F91" w:rsidRPr="00FA40B1" w:rsidRDefault="00DA3F91" w:rsidP="006F5482">
      <w:pPr>
        <w:rPr>
          <w:rFonts w:ascii="Century Gothic" w:eastAsia="PMingLiU" w:hAnsi="Century Gothic" w:cs="Times New Roman"/>
          <w:sz w:val="22"/>
          <w:szCs w:val="22"/>
        </w:rPr>
      </w:pPr>
    </w:p>
    <w:p w14:paraId="6E324BDE" w14:textId="7996CC9D" w:rsidR="00D0724B" w:rsidRPr="00FA40B1" w:rsidRDefault="00DA3F91" w:rsidP="006F5482">
      <w:pPr>
        <w:rPr>
          <w:rFonts w:ascii="Century Gothic" w:eastAsia="PMingLiU" w:hAnsi="Century Gothic" w:cs="Times New Roman"/>
          <w:sz w:val="22"/>
          <w:szCs w:val="22"/>
        </w:rPr>
      </w:pPr>
      <w:r>
        <w:rPr>
          <w:rFonts w:ascii="Century Gothic" w:hAnsi="Century Gothic"/>
          <w:sz w:val="22"/>
        </w:rPr>
        <w:t xml:space="preserve">Mais l’élaboration d’un mouvement non piégé entre une platine et un pont constituait un réel défi technique à relever. La conception de la LAB 02 exigeait un axe beaucoup plus long pour l’engrenage et, à défaut d’un pont supérieur, des roulements à billes au lieu de rubis sur la platine pour lui conférer davantage de résistance et de stabilité. L’unique platine a également été fortement squelettée. L’ensemble du mouvement est ensuite placé sur une platine en saphir totalement transparente permettant une visibilité optimale et donnant l’impression que les éléments flottent en apesanteur. </w:t>
      </w:r>
    </w:p>
    <w:p w14:paraId="749F978F" w14:textId="77777777" w:rsidR="00D0724B" w:rsidRPr="00FA40B1" w:rsidRDefault="00D0724B" w:rsidP="006F5482">
      <w:pPr>
        <w:rPr>
          <w:rFonts w:ascii="Century Gothic" w:eastAsia="PMingLiU" w:hAnsi="Century Gothic" w:cs="Times New Roman"/>
          <w:sz w:val="22"/>
          <w:szCs w:val="22"/>
        </w:rPr>
      </w:pPr>
    </w:p>
    <w:p w14:paraId="36C57799" w14:textId="0D7F7AA2" w:rsidR="00D0724B" w:rsidRPr="00FA40B1" w:rsidRDefault="000912C8" w:rsidP="00D0724B">
      <w:pPr>
        <w:rPr>
          <w:rFonts w:ascii="Century Gothic" w:eastAsia="PMingLiU" w:hAnsi="Century Gothic" w:cs="Times New Roman"/>
          <w:sz w:val="22"/>
          <w:szCs w:val="22"/>
        </w:rPr>
      </w:pPr>
      <w:r>
        <w:rPr>
          <w:rFonts w:ascii="Century Gothic" w:hAnsi="Century Gothic"/>
          <w:sz w:val="22"/>
        </w:rPr>
        <w:t xml:space="preserve">Le modèle LAB 02 est en outre équipé d’une fonction grande date à 4 heures et son indicateur de réserve de marche (55 heures) est singulièrement disposé de manière à le rendre visible au travers d’un verre saphir sur le côté du boîtier à 8 heures. En raison de l’immense complexité de cette montre de 45 mm, seuls 10 exemplaires, tous identifiés par un numéro spécifique sur leur barillet, seront fabriqués. </w:t>
      </w:r>
    </w:p>
    <w:p w14:paraId="5583C955" w14:textId="77777777" w:rsidR="00D0724B" w:rsidRPr="00FA40B1" w:rsidRDefault="00D0724B" w:rsidP="00D0724B">
      <w:pPr>
        <w:rPr>
          <w:rFonts w:ascii="Century Gothic" w:eastAsia="PMingLiU" w:hAnsi="Century Gothic" w:cs="Times New Roman"/>
          <w:sz w:val="22"/>
          <w:szCs w:val="22"/>
        </w:rPr>
      </w:pPr>
    </w:p>
    <w:p w14:paraId="6DF247E7" w14:textId="6E905697" w:rsidR="006F5482" w:rsidRPr="00FA40B1" w:rsidRDefault="00AC0A7E" w:rsidP="00D0724B">
      <w:pPr>
        <w:rPr>
          <w:rFonts w:ascii="Century Gothic" w:eastAsia="PMingLiU" w:hAnsi="Century Gothic" w:cs="Times New Roman"/>
          <w:sz w:val="22"/>
          <w:szCs w:val="22"/>
        </w:rPr>
      </w:pPr>
      <w:r>
        <w:rPr>
          <w:rFonts w:ascii="Century Gothic" w:hAnsi="Century Gothic"/>
          <w:sz w:val="22"/>
        </w:rPr>
        <w:t xml:space="preserve">Chaque LAB 02 est personnalisable : il est possible de choisir la couleur de l’or, la taille et le sertissage des diamants ou même des pierres précieuses colorées.  Le prix initial de la montre, en or et sans diamants, est de 180 000 CHF.  </w:t>
      </w:r>
    </w:p>
    <w:p w14:paraId="29C32EEB" w14:textId="77777777" w:rsidR="00D0724B" w:rsidRPr="00FA40B1" w:rsidRDefault="00D0724B" w:rsidP="00D0724B">
      <w:pPr>
        <w:rPr>
          <w:rFonts w:ascii="Century Gothic" w:eastAsia="PMingLiU" w:hAnsi="Century Gothic" w:cs="Times New Roman"/>
          <w:sz w:val="22"/>
          <w:szCs w:val="22"/>
        </w:rPr>
      </w:pPr>
    </w:p>
    <w:p w14:paraId="1F2E6D98" w14:textId="77777777" w:rsidR="001F5F84" w:rsidRDefault="001F5F84" w:rsidP="00D0724B">
      <w:pPr>
        <w:rPr>
          <w:rFonts w:ascii="Century Gothic" w:hAnsi="Century Gothic"/>
          <w:sz w:val="22"/>
        </w:rPr>
      </w:pPr>
    </w:p>
    <w:p w14:paraId="53A29C57" w14:textId="77777777" w:rsidR="001F5F84" w:rsidRDefault="001F5F84" w:rsidP="00D0724B">
      <w:pPr>
        <w:rPr>
          <w:rFonts w:ascii="Century Gothic" w:hAnsi="Century Gothic"/>
          <w:sz w:val="22"/>
        </w:rPr>
      </w:pPr>
    </w:p>
    <w:p w14:paraId="66B0FE5A" w14:textId="77777777" w:rsidR="001F5F84" w:rsidRDefault="001F5F84" w:rsidP="00D0724B">
      <w:pPr>
        <w:rPr>
          <w:rFonts w:ascii="Century Gothic" w:hAnsi="Century Gothic"/>
          <w:sz w:val="22"/>
        </w:rPr>
      </w:pPr>
    </w:p>
    <w:p w14:paraId="2E04C223" w14:textId="77777777" w:rsidR="001F5F84" w:rsidRDefault="001F5F84" w:rsidP="00D0724B">
      <w:pPr>
        <w:rPr>
          <w:rFonts w:ascii="Century Gothic" w:hAnsi="Century Gothic"/>
          <w:sz w:val="22"/>
        </w:rPr>
      </w:pPr>
    </w:p>
    <w:p w14:paraId="185B6019" w14:textId="092EE549" w:rsidR="00D0724B" w:rsidRPr="001F5F84" w:rsidRDefault="00D0724B" w:rsidP="00D0724B">
      <w:pPr>
        <w:rPr>
          <w:rFonts w:ascii="Century Gothic" w:hAnsi="Century Gothic"/>
          <w:sz w:val="22"/>
        </w:rPr>
      </w:pPr>
      <w:r>
        <w:rPr>
          <w:rFonts w:ascii="Century Gothic" w:hAnsi="Century Gothic"/>
          <w:sz w:val="22"/>
        </w:rPr>
        <w:t>Fidèle à sa philosophie fondatrice selon laquelle elle doit constamment demeurer à l’avant-garde afin d’assurer sa pérennité, Corum a développé la série LAB, témoin de son incursion dans une horlogerie distinctive et audacieuse. Après la LAB 01 lancée</w:t>
      </w:r>
      <w:r w:rsidR="001F5F84">
        <w:rPr>
          <w:rFonts w:ascii="Century Gothic" w:hAnsi="Century Gothic"/>
          <w:sz w:val="22"/>
        </w:rPr>
        <w:t xml:space="preserve"> </w:t>
      </w:r>
      <w:r>
        <w:rPr>
          <w:rFonts w:ascii="Century Gothic" w:hAnsi="Century Gothic"/>
          <w:sz w:val="22"/>
        </w:rPr>
        <w:t xml:space="preserve">début 2019, la deuxième montre de laboratoire, la LAB 02, fait son apparition. Ce nouveau pilier de la famille Corum rend hommage aux fondateurs de la marque, maîtres dans l’art de la prise de risques et de l’anticonformisme. La collection LAB est entièrement fondée sur une volonté d’innovation invitant à transgresser les règles et à penser différemment. </w:t>
      </w:r>
      <w:r w:rsidRPr="008E775C">
        <w:rPr>
          <w:rFonts w:ascii="Century Gothic" w:hAnsi="Century Gothic"/>
          <w:sz w:val="22"/>
          <w:lang w:val="en-GB"/>
        </w:rPr>
        <w:t xml:space="preserve">Le </w:t>
      </w:r>
      <w:proofErr w:type="spellStart"/>
      <w:r w:rsidRPr="008E775C">
        <w:rPr>
          <w:rFonts w:ascii="Century Gothic" w:hAnsi="Century Gothic"/>
          <w:sz w:val="22"/>
          <w:lang w:val="en-GB"/>
        </w:rPr>
        <w:t>modèle</w:t>
      </w:r>
      <w:proofErr w:type="spellEnd"/>
      <w:r w:rsidRPr="008E775C">
        <w:rPr>
          <w:rFonts w:ascii="Century Gothic" w:hAnsi="Century Gothic"/>
          <w:sz w:val="22"/>
          <w:lang w:val="en-GB"/>
        </w:rPr>
        <w:t xml:space="preserve"> LAB 02 </w:t>
      </w:r>
      <w:proofErr w:type="spellStart"/>
      <w:r w:rsidRPr="008E775C">
        <w:rPr>
          <w:rFonts w:ascii="Century Gothic" w:hAnsi="Century Gothic"/>
          <w:sz w:val="22"/>
          <w:lang w:val="en-GB"/>
        </w:rPr>
        <w:t>en</w:t>
      </w:r>
      <w:proofErr w:type="spellEnd"/>
      <w:r w:rsidRPr="008E775C">
        <w:rPr>
          <w:rFonts w:ascii="Century Gothic" w:hAnsi="Century Gothic"/>
          <w:sz w:val="22"/>
          <w:lang w:val="en-GB"/>
        </w:rPr>
        <w:t xml:space="preserve"> </w:t>
      </w:r>
      <w:proofErr w:type="spellStart"/>
      <w:r w:rsidRPr="008E775C">
        <w:rPr>
          <w:rFonts w:ascii="Century Gothic" w:hAnsi="Century Gothic"/>
          <w:sz w:val="22"/>
          <w:lang w:val="en-GB"/>
        </w:rPr>
        <w:t>est</w:t>
      </w:r>
      <w:proofErr w:type="spellEnd"/>
      <w:r w:rsidRPr="008E775C">
        <w:rPr>
          <w:rFonts w:ascii="Century Gothic" w:hAnsi="Century Gothic"/>
          <w:sz w:val="22"/>
          <w:lang w:val="en-GB"/>
        </w:rPr>
        <w:t xml:space="preserve"> </w:t>
      </w:r>
      <w:proofErr w:type="spellStart"/>
      <w:r w:rsidRPr="008E775C">
        <w:rPr>
          <w:rFonts w:ascii="Century Gothic" w:hAnsi="Century Gothic"/>
          <w:sz w:val="22"/>
          <w:lang w:val="en-GB"/>
        </w:rPr>
        <w:t>l’illustration</w:t>
      </w:r>
      <w:proofErr w:type="spellEnd"/>
      <w:r w:rsidRPr="008E775C">
        <w:rPr>
          <w:rFonts w:ascii="Century Gothic" w:hAnsi="Century Gothic"/>
          <w:sz w:val="22"/>
          <w:lang w:val="en-GB"/>
        </w:rPr>
        <w:t xml:space="preserve"> par excellence.</w:t>
      </w:r>
    </w:p>
    <w:p w14:paraId="0482655E" w14:textId="2B107A14" w:rsidR="00D0724B" w:rsidRPr="008E775C" w:rsidRDefault="00D0724B" w:rsidP="00D0724B">
      <w:pPr>
        <w:rPr>
          <w:rFonts w:ascii="Times New Roman" w:hAnsi="Times New Roman" w:cs="Times New Roman"/>
          <w:lang w:val="en-GB"/>
        </w:rPr>
      </w:pPr>
    </w:p>
    <w:p w14:paraId="58CCD856" w14:textId="77777777" w:rsidR="001F5F84" w:rsidRDefault="001F5F84" w:rsidP="001F5F84">
      <w:pPr>
        <w:pStyle w:val="Titre1"/>
        <w:spacing w:before="99"/>
        <w:jc w:val="both"/>
        <w:rPr>
          <w:rFonts w:ascii="Ministry-Bold" w:eastAsiaTheme="minorHAnsi" w:hAnsi="Ministry-Bold" w:cstheme="minorBidi"/>
          <w:sz w:val="36"/>
          <w:lang w:val="fr-CH"/>
        </w:rPr>
      </w:pPr>
    </w:p>
    <w:p w14:paraId="62B98D4E" w14:textId="77777777" w:rsidR="001F5F84" w:rsidRDefault="001F5F84" w:rsidP="001F5F84">
      <w:pPr>
        <w:pStyle w:val="Titre1"/>
        <w:spacing w:before="99"/>
        <w:jc w:val="both"/>
        <w:rPr>
          <w:rFonts w:ascii="Ministry-Bold" w:eastAsiaTheme="minorHAnsi" w:hAnsi="Ministry-Bold" w:cstheme="minorBidi"/>
          <w:sz w:val="36"/>
          <w:lang w:val="fr-CH"/>
        </w:rPr>
      </w:pPr>
    </w:p>
    <w:p w14:paraId="55A89DF8" w14:textId="45943B73" w:rsidR="001F5F84" w:rsidRPr="00DB26E5" w:rsidRDefault="001F5F84" w:rsidP="001F5F84">
      <w:pPr>
        <w:pStyle w:val="Titre1"/>
        <w:spacing w:before="99"/>
        <w:jc w:val="both"/>
        <w:rPr>
          <w:rFonts w:ascii="Ministry-Bold" w:eastAsiaTheme="minorHAnsi" w:hAnsi="Ministry-Bold" w:cstheme="minorBidi"/>
          <w:sz w:val="36"/>
          <w:lang w:val="fr-CH"/>
        </w:rPr>
      </w:pPr>
      <w:r w:rsidRPr="00DB26E5">
        <w:rPr>
          <w:rFonts w:ascii="Ministry-Bold" w:eastAsiaTheme="minorHAnsi" w:hAnsi="Ministry-Bold" w:cstheme="minorBidi"/>
          <w:sz w:val="36"/>
          <w:lang w:val="fr-CH"/>
        </w:rPr>
        <w:t xml:space="preserve">À propos de </w:t>
      </w:r>
      <w:proofErr w:type="spellStart"/>
      <w:r w:rsidRPr="00DB26E5">
        <w:rPr>
          <w:rFonts w:ascii="Ministry-Bold" w:eastAsiaTheme="minorHAnsi" w:hAnsi="Ministry-Bold" w:cstheme="minorBidi"/>
          <w:sz w:val="36"/>
          <w:lang w:val="fr-CH"/>
        </w:rPr>
        <w:t>Corum</w:t>
      </w:r>
      <w:proofErr w:type="spellEnd"/>
      <w:r w:rsidRPr="00DB26E5">
        <w:rPr>
          <w:rFonts w:ascii="Ministry-Bold" w:eastAsiaTheme="minorHAnsi" w:hAnsi="Ministry-Bold" w:cstheme="minorBidi"/>
          <w:sz w:val="36"/>
          <w:lang w:val="fr-CH"/>
        </w:rPr>
        <w:t xml:space="preserve"> </w:t>
      </w:r>
    </w:p>
    <w:p w14:paraId="488A44F6" w14:textId="77777777" w:rsidR="001F5F84" w:rsidRPr="00DB26E5" w:rsidRDefault="001F5F84" w:rsidP="001F5F84">
      <w:pPr>
        <w:pStyle w:val="NormalWeb"/>
        <w:spacing w:before="2" w:after="2"/>
        <w:rPr>
          <w:rFonts w:ascii="Century Gothic" w:hAnsi="Century Gothic" w:cstheme="minorBidi"/>
          <w:sz w:val="22"/>
        </w:rPr>
      </w:pPr>
      <w:proofErr w:type="spellStart"/>
      <w:r w:rsidRPr="00DB26E5">
        <w:rPr>
          <w:rFonts w:ascii="Century Gothic" w:hAnsi="Century Gothic" w:cstheme="minorBidi"/>
          <w:sz w:val="22"/>
        </w:rPr>
        <w:t>Fondée</w:t>
      </w:r>
      <w:proofErr w:type="spellEnd"/>
      <w:r w:rsidRPr="00DB26E5">
        <w:rPr>
          <w:rFonts w:ascii="Century Gothic" w:hAnsi="Century Gothic" w:cstheme="minorBidi"/>
          <w:sz w:val="22"/>
        </w:rPr>
        <w:t xml:space="preserve"> en 1955, </w:t>
      </w:r>
      <w:proofErr w:type="spellStart"/>
      <w:r w:rsidRPr="00DB26E5">
        <w:rPr>
          <w:rFonts w:ascii="Century Gothic" w:hAnsi="Century Gothic" w:cstheme="minorBidi"/>
          <w:sz w:val="22"/>
        </w:rPr>
        <w:t>Corum</w:t>
      </w:r>
      <w:proofErr w:type="spellEnd"/>
      <w:r w:rsidRPr="00DB26E5">
        <w:rPr>
          <w:rFonts w:ascii="Century Gothic" w:hAnsi="Century Gothic" w:cstheme="minorBidi"/>
          <w:sz w:val="22"/>
        </w:rPr>
        <w:t xml:space="preserve"> incarne l’horlogerie </w:t>
      </w:r>
      <w:proofErr w:type="spellStart"/>
      <w:r w:rsidRPr="00DB26E5">
        <w:rPr>
          <w:rFonts w:ascii="Century Gothic" w:hAnsi="Century Gothic" w:cstheme="minorBidi"/>
          <w:sz w:val="22"/>
        </w:rPr>
        <w:t>créative</w:t>
      </w:r>
      <w:proofErr w:type="spellEnd"/>
      <w:r w:rsidRPr="00DB26E5">
        <w:rPr>
          <w:rFonts w:ascii="Century Gothic" w:hAnsi="Century Gothic" w:cstheme="minorBidi"/>
          <w:sz w:val="22"/>
        </w:rPr>
        <w:t xml:space="preserve"> et audacieuse. Loin des dogmes, la Maison repense librement la construction du mouvement, le </w:t>
      </w:r>
      <w:proofErr w:type="spellStart"/>
      <w:r w:rsidRPr="00DB26E5">
        <w:rPr>
          <w:rFonts w:ascii="Century Gothic" w:hAnsi="Century Gothic" w:cstheme="minorBidi"/>
          <w:sz w:val="22"/>
        </w:rPr>
        <w:t>boi</w:t>
      </w:r>
      <w:r w:rsidRPr="00DB26E5">
        <w:rPr>
          <w:rFonts w:ascii="Arial" w:hAnsi="Arial" w:cs="Arial"/>
          <w:sz w:val="22"/>
        </w:rPr>
        <w:t>̂</w:t>
      </w:r>
      <w:r w:rsidRPr="00DB26E5">
        <w:rPr>
          <w:rFonts w:ascii="Century Gothic" w:hAnsi="Century Gothic" w:cstheme="minorBidi"/>
          <w:sz w:val="22"/>
        </w:rPr>
        <w:t>tier</w:t>
      </w:r>
      <w:proofErr w:type="spellEnd"/>
      <w:r w:rsidRPr="00DB26E5">
        <w:rPr>
          <w:rFonts w:ascii="Century Gothic" w:hAnsi="Century Gothic" w:cstheme="minorBidi"/>
          <w:sz w:val="22"/>
        </w:rPr>
        <w:t xml:space="preserve"> et les savoir-faire artistiques qui permettent d’embellir le cadran. </w:t>
      </w:r>
      <w:proofErr w:type="spellStart"/>
      <w:r w:rsidRPr="00DB26E5">
        <w:rPr>
          <w:rFonts w:ascii="Century Gothic" w:hAnsi="Century Gothic" w:cstheme="minorBidi"/>
          <w:sz w:val="22"/>
        </w:rPr>
        <w:t>Par-dela</w:t>
      </w:r>
      <w:proofErr w:type="spellEnd"/>
      <w:r w:rsidRPr="00DB26E5">
        <w:rPr>
          <w:rFonts w:ascii="Century Gothic" w:hAnsi="Century Gothic" w:cstheme="minorBidi"/>
          <w:sz w:val="22"/>
        </w:rPr>
        <w:t xml:space="preserve">̀ ses nombreuses prouesses techniques (comme le mouvement baguette) et </w:t>
      </w:r>
      <w:proofErr w:type="spellStart"/>
      <w:r w:rsidRPr="00DB26E5">
        <w:rPr>
          <w:rFonts w:ascii="Century Gothic" w:hAnsi="Century Gothic" w:cstheme="minorBidi"/>
          <w:sz w:val="22"/>
        </w:rPr>
        <w:t>esthétiques</w:t>
      </w:r>
      <w:proofErr w:type="spellEnd"/>
      <w:r w:rsidRPr="00DB26E5">
        <w:rPr>
          <w:rFonts w:ascii="Century Gothic" w:hAnsi="Century Gothic" w:cstheme="minorBidi"/>
          <w:sz w:val="22"/>
        </w:rPr>
        <w:t xml:space="preserve"> (montres Coin, Feather ou </w:t>
      </w:r>
      <w:proofErr w:type="spellStart"/>
      <w:r w:rsidRPr="00DB26E5">
        <w:rPr>
          <w:rFonts w:ascii="Century Gothic" w:hAnsi="Century Gothic" w:cstheme="minorBidi"/>
          <w:sz w:val="22"/>
        </w:rPr>
        <w:t>Bubble</w:t>
      </w:r>
      <w:proofErr w:type="spellEnd"/>
      <w:r w:rsidRPr="00DB26E5">
        <w:rPr>
          <w:rFonts w:ascii="Century Gothic" w:hAnsi="Century Gothic" w:cstheme="minorBidi"/>
          <w:sz w:val="22"/>
        </w:rPr>
        <w:t xml:space="preserve">), </w:t>
      </w:r>
      <w:proofErr w:type="spellStart"/>
      <w:r w:rsidRPr="00DB26E5">
        <w:rPr>
          <w:rFonts w:ascii="Century Gothic" w:hAnsi="Century Gothic" w:cstheme="minorBidi"/>
          <w:sz w:val="22"/>
        </w:rPr>
        <w:t>Corum</w:t>
      </w:r>
      <w:proofErr w:type="spellEnd"/>
      <w:r w:rsidRPr="00DB26E5">
        <w:rPr>
          <w:rFonts w:ascii="Century Gothic" w:hAnsi="Century Gothic" w:cstheme="minorBidi"/>
          <w:sz w:val="22"/>
        </w:rPr>
        <w:t xml:space="preserve"> prend le relais d’une tradition d’horlogerie haut de gamme en avance sur son temps. </w:t>
      </w:r>
    </w:p>
    <w:p w14:paraId="24228A22" w14:textId="77777777" w:rsidR="001F5F84" w:rsidRPr="00DB26E5" w:rsidRDefault="001F5F84" w:rsidP="001F5F84">
      <w:pPr>
        <w:pStyle w:val="NormalWeb"/>
        <w:spacing w:before="2" w:after="2"/>
        <w:rPr>
          <w:rFonts w:ascii="Century Gothic" w:hAnsi="Century Gothic" w:cstheme="minorBidi"/>
          <w:sz w:val="22"/>
        </w:rPr>
      </w:pPr>
      <w:proofErr w:type="spellStart"/>
      <w:r w:rsidRPr="00DB26E5">
        <w:rPr>
          <w:rFonts w:ascii="Century Gothic" w:hAnsi="Century Gothic" w:cstheme="minorBidi"/>
          <w:sz w:val="22"/>
        </w:rPr>
        <w:t>Née</w:t>
      </w:r>
      <w:proofErr w:type="spellEnd"/>
      <w:r w:rsidRPr="00DB26E5">
        <w:rPr>
          <w:rFonts w:ascii="Century Gothic" w:hAnsi="Century Gothic" w:cstheme="minorBidi"/>
          <w:sz w:val="22"/>
        </w:rPr>
        <w:t xml:space="preserve"> à La Chaux-de-Fonds, la marque s’ouvre à la fois aux univers du </w:t>
      </w:r>
      <w:proofErr w:type="spellStart"/>
      <w:r w:rsidRPr="00DB26E5">
        <w:rPr>
          <w:rFonts w:ascii="Century Gothic" w:hAnsi="Century Gothic" w:cstheme="minorBidi"/>
          <w:sz w:val="22"/>
        </w:rPr>
        <w:t>street</w:t>
      </w:r>
      <w:proofErr w:type="spellEnd"/>
      <w:r w:rsidRPr="00DB26E5">
        <w:rPr>
          <w:rFonts w:ascii="Century Gothic" w:hAnsi="Century Gothic" w:cstheme="minorBidi"/>
          <w:sz w:val="22"/>
        </w:rPr>
        <w:t xml:space="preserve"> art contemporain et de l’art classique, attirant du </w:t>
      </w:r>
      <w:proofErr w:type="spellStart"/>
      <w:r w:rsidRPr="00DB26E5">
        <w:rPr>
          <w:rFonts w:ascii="Century Gothic" w:hAnsi="Century Gothic" w:cstheme="minorBidi"/>
          <w:sz w:val="22"/>
        </w:rPr>
        <w:t>me</w:t>
      </w:r>
      <w:r w:rsidRPr="00DB26E5">
        <w:rPr>
          <w:rFonts w:ascii="Arial" w:hAnsi="Arial" w:cs="Arial"/>
          <w:sz w:val="22"/>
        </w:rPr>
        <w:t>̂</w:t>
      </w:r>
      <w:r w:rsidRPr="00DB26E5">
        <w:rPr>
          <w:rFonts w:ascii="Century Gothic" w:hAnsi="Century Gothic" w:cstheme="minorBidi"/>
          <w:sz w:val="22"/>
        </w:rPr>
        <w:t>me</w:t>
      </w:r>
      <w:proofErr w:type="spellEnd"/>
      <w:r w:rsidRPr="00DB26E5">
        <w:rPr>
          <w:rFonts w:ascii="Century Gothic" w:hAnsi="Century Gothic" w:cstheme="minorBidi"/>
          <w:sz w:val="22"/>
        </w:rPr>
        <w:t xml:space="preserve"> coup l’attention d’un large </w:t>
      </w:r>
      <w:proofErr w:type="spellStart"/>
      <w:r w:rsidRPr="00DB26E5">
        <w:rPr>
          <w:rFonts w:ascii="Century Gothic" w:hAnsi="Century Gothic" w:cstheme="minorBidi"/>
          <w:sz w:val="22"/>
        </w:rPr>
        <w:t>éventail</w:t>
      </w:r>
      <w:proofErr w:type="spellEnd"/>
      <w:r w:rsidRPr="00DB26E5">
        <w:rPr>
          <w:rFonts w:ascii="Century Gothic" w:hAnsi="Century Gothic" w:cstheme="minorBidi"/>
          <w:sz w:val="22"/>
        </w:rPr>
        <w:t xml:space="preserve"> d’avant-gardistes. À la fois </w:t>
      </w:r>
      <w:proofErr w:type="spellStart"/>
      <w:r w:rsidRPr="00DB26E5">
        <w:rPr>
          <w:rFonts w:ascii="Century Gothic" w:hAnsi="Century Gothic" w:cstheme="minorBidi"/>
          <w:sz w:val="22"/>
        </w:rPr>
        <w:t>révolutionnaire</w:t>
      </w:r>
      <w:proofErr w:type="spellEnd"/>
      <w:r w:rsidRPr="00DB26E5">
        <w:rPr>
          <w:rFonts w:ascii="Century Gothic" w:hAnsi="Century Gothic" w:cstheme="minorBidi"/>
          <w:sz w:val="22"/>
        </w:rPr>
        <w:t xml:space="preserve"> et respectueuse de son </w:t>
      </w:r>
      <w:proofErr w:type="spellStart"/>
      <w:r w:rsidRPr="00DB26E5">
        <w:rPr>
          <w:rFonts w:ascii="Century Gothic" w:hAnsi="Century Gothic" w:cstheme="minorBidi"/>
          <w:sz w:val="22"/>
        </w:rPr>
        <w:t>héritage</w:t>
      </w:r>
      <w:proofErr w:type="spellEnd"/>
      <w:r w:rsidRPr="00DB26E5">
        <w:rPr>
          <w:rFonts w:ascii="Century Gothic" w:hAnsi="Century Gothic" w:cstheme="minorBidi"/>
          <w:sz w:val="22"/>
        </w:rPr>
        <w:t xml:space="preserve"> horloger, </w:t>
      </w:r>
      <w:proofErr w:type="spellStart"/>
      <w:r w:rsidRPr="00DB26E5">
        <w:rPr>
          <w:rFonts w:ascii="Century Gothic" w:hAnsi="Century Gothic" w:cstheme="minorBidi"/>
          <w:sz w:val="22"/>
        </w:rPr>
        <w:t>Corum</w:t>
      </w:r>
      <w:proofErr w:type="spellEnd"/>
      <w:r w:rsidRPr="00DB26E5">
        <w:rPr>
          <w:rFonts w:ascii="Century Gothic" w:hAnsi="Century Gothic" w:cstheme="minorBidi"/>
          <w:sz w:val="22"/>
        </w:rPr>
        <w:t xml:space="preserve"> entretient un statut de marque de niche qui s’adresse aux collectionneurs exigeants de montres atypiques. Elle </w:t>
      </w:r>
      <w:proofErr w:type="spellStart"/>
      <w:r w:rsidRPr="00DB26E5">
        <w:rPr>
          <w:rFonts w:ascii="Century Gothic" w:hAnsi="Century Gothic" w:cstheme="minorBidi"/>
          <w:sz w:val="22"/>
        </w:rPr>
        <w:t>décline</w:t>
      </w:r>
      <w:proofErr w:type="spellEnd"/>
      <w:r w:rsidRPr="00DB26E5">
        <w:rPr>
          <w:rFonts w:ascii="Century Gothic" w:hAnsi="Century Gothic" w:cstheme="minorBidi"/>
          <w:sz w:val="22"/>
        </w:rPr>
        <w:t xml:space="preserve"> </w:t>
      </w:r>
      <w:r>
        <w:rPr>
          <w:rFonts w:ascii="Century Gothic" w:hAnsi="Century Gothic" w:cstheme="minorBidi"/>
          <w:sz w:val="22"/>
        </w:rPr>
        <w:t xml:space="preserve">cinq </w:t>
      </w:r>
      <w:r w:rsidRPr="00DB26E5">
        <w:rPr>
          <w:rFonts w:ascii="Century Gothic" w:hAnsi="Century Gothic" w:cstheme="minorBidi"/>
          <w:sz w:val="22"/>
        </w:rPr>
        <w:t>collections qui refl</w:t>
      </w:r>
      <w:r>
        <w:rPr>
          <w:rFonts w:ascii="Century Gothic" w:hAnsi="Century Gothic" w:cstheme="minorBidi"/>
          <w:sz w:val="22"/>
        </w:rPr>
        <w:t>è</w:t>
      </w:r>
      <w:r w:rsidRPr="00DB26E5">
        <w:rPr>
          <w:rFonts w:ascii="Century Gothic" w:hAnsi="Century Gothic" w:cstheme="minorBidi"/>
          <w:sz w:val="22"/>
        </w:rPr>
        <w:t xml:space="preserve">tent chacune sa vision de l’horlogerie du XXIe </w:t>
      </w:r>
      <w:proofErr w:type="spellStart"/>
      <w:r w:rsidRPr="00DB26E5">
        <w:rPr>
          <w:rFonts w:ascii="Century Gothic" w:hAnsi="Century Gothic" w:cstheme="minorBidi"/>
          <w:sz w:val="22"/>
        </w:rPr>
        <w:t>siècle</w:t>
      </w:r>
      <w:proofErr w:type="spellEnd"/>
      <w:r w:rsidRPr="00DB26E5">
        <w:rPr>
          <w:rFonts w:ascii="Century Gothic" w:hAnsi="Century Gothic" w:cstheme="minorBidi"/>
          <w:sz w:val="22"/>
        </w:rPr>
        <w:t xml:space="preserve"> : </w:t>
      </w:r>
      <w:proofErr w:type="spellStart"/>
      <w:r w:rsidRPr="00DB26E5">
        <w:rPr>
          <w:rFonts w:ascii="Century Gothic" w:hAnsi="Century Gothic" w:cstheme="minorBidi"/>
          <w:sz w:val="22"/>
        </w:rPr>
        <w:t>Admiral</w:t>
      </w:r>
      <w:proofErr w:type="spellEnd"/>
      <w:r w:rsidRPr="00DB26E5">
        <w:rPr>
          <w:rFonts w:ascii="Century Gothic" w:hAnsi="Century Gothic" w:cstheme="minorBidi"/>
          <w:sz w:val="22"/>
        </w:rPr>
        <w:t>, Golden Bridge</w:t>
      </w:r>
      <w:r>
        <w:rPr>
          <w:rFonts w:ascii="Century Gothic" w:hAnsi="Century Gothic" w:cstheme="minorBidi"/>
          <w:sz w:val="22"/>
        </w:rPr>
        <w:t xml:space="preserve">, </w:t>
      </w:r>
      <w:proofErr w:type="spellStart"/>
      <w:r>
        <w:rPr>
          <w:rFonts w:ascii="Century Gothic" w:hAnsi="Century Gothic" w:cstheme="minorBidi"/>
          <w:sz w:val="22"/>
        </w:rPr>
        <w:t>Lab</w:t>
      </w:r>
      <w:proofErr w:type="spellEnd"/>
      <w:r>
        <w:rPr>
          <w:rFonts w:ascii="Century Gothic" w:hAnsi="Century Gothic" w:cstheme="minorBidi"/>
          <w:sz w:val="22"/>
        </w:rPr>
        <w:t>,</w:t>
      </w:r>
      <w:r w:rsidRPr="00DB26E5">
        <w:rPr>
          <w:rFonts w:ascii="Century Gothic" w:hAnsi="Century Gothic" w:cstheme="minorBidi"/>
          <w:sz w:val="22"/>
        </w:rPr>
        <w:t xml:space="preserve"> H</w:t>
      </w:r>
      <w:r>
        <w:rPr>
          <w:rFonts w:ascii="Century Gothic" w:hAnsi="Century Gothic" w:cstheme="minorBidi"/>
          <w:sz w:val="22"/>
        </w:rPr>
        <w:t>é</w:t>
      </w:r>
      <w:r w:rsidRPr="00DB26E5">
        <w:rPr>
          <w:rFonts w:ascii="Century Gothic" w:hAnsi="Century Gothic" w:cstheme="minorBidi"/>
          <w:sz w:val="22"/>
        </w:rPr>
        <w:t>ritage</w:t>
      </w:r>
      <w:r>
        <w:rPr>
          <w:rFonts w:ascii="Century Gothic" w:hAnsi="Century Gothic" w:cstheme="minorBidi"/>
          <w:sz w:val="22"/>
        </w:rPr>
        <w:t xml:space="preserve"> et </w:t>
      </w:r>
      <w:proofErr w:type="spellStart"/>
      <w:r>
        <w:rPr>
          <w:rFonts w:ascii="Century Gothic" w:hAnsi="Century Gothic" w:cstheme="minorBidi"/>
          <w:sz w:val="22"/>
        </w:rPr>
        <w:t>Bubble</w:t>
      </w:r>
      <w:proofErr w:type="spellEnd"/>
      <w:r>
        <w:rPr>
          <w:rFonts w:ascii="Century Gothic" w:hAnsi="Century Gothic" w:cstheme="minorBidi"/>
          <w:sz w:val="22"/>
        </w:rPr>
        <w:t>.</w:t>
      </w:r>
    </w:p>
    <w:p w14:paraId="342A4693" w14:textId="77777777" w:rsidR="00E216B3" w:rsidRPr="001F5F84" w:rsidRDefault="00E216B3"/>
    <w:sectPr w:rsidR="00E216B3" w:rsidRPr="001F5F84" w:rsidSect="008E775C">
      <w:headerReference w:type="default" r:id="rId7"/>
      <w:footerReference w:type="default" r:id="rId8"/>
      <w:pgSz w:w="12240" w:h="15840"/>
      <w:pgMar w:top="1954" w:right="1440" w:bottom="1440" w:left="1440" w:header="624"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BBD852" w14:textId="77777777" w:rsidR="00B27EAE" w:rsidRDefault="00B27EAE" w:rsidP="00CA0843">
      <w:r>
        <w:separator/>
      </w:r>
    </w:p>
  </w:endnote>
  <w:endnote w:type="continuationSeparator" w:id="0">
    <w:p w14:paraId="7B76E5D4" w14:textId="77777777" w:rsidR="00B27EAE" w:rsidRDefault="00B27EAE" w:rsidP="00CA0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Garamond">
    <w:altName w:val="Times New Roman"/>
    <w:panose1 w:val="020B0604020202020204"/>
    <w:charset w:val="00"/>
    <w:family w:val="auto"/>
    <w:pitch w:val="variable"/>
    <w:sig w:usb0="03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Segoe UI">
    <w:altName w:val="Sylfaen"/>
    <w:panose1 w:val="020B0604020202020204"/>
    <w:charset w:val="00"/>
    <w:family w:val="swiss"/>
    <w:pitch w:val="variable"/>
    <w:sig w:usb0="E4002EFF" w:usb1="C000E47F" w:usb2="00000009" w:usb3="00000000" w:csb0="000001FF" w:csb1="00000000"/>
  </w:font>
  <w:font w:name="Ministry-Medium">
    <w:panose1 w:val="00000000000000000000"/>
    <w:charset w:val="00"/>
    <w:family w:val="auto"/>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Ministry-Bold">
    <w:altName w:val="Calibri"/>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08CE8" w14:textId="77777777" w:rsidR="00CA0843" w:rsidRPr="003605A6" w:rsidRDefault="00CA0843" w:rsidP="00CA0843">
    <w:pPr>
      <w:spacing w:beforeLines="1" w:before="2" w:afterLines="1" w:after="2"/>
      <w:jc w:val="center"/>
      <w:rPr>
        <w:rFonts w:ascii="Times" w:hAnsi="Times" w:cs="Times New Roman"/>
        <w:sz w:val="20"/>
        <w:szCs w:val="20"/>
      </w:rPr>
    </w:pPr>
    <w:r>
      <w:rPr>
        <w:rFonts w:ascii="Arial" w:hAnsi="Arial"/>
        <w:b/>
        <w:color w:val="7F7F7F"/>
      </w:rPr>
      <w:t>Montres CORUM Sàrl</w:t>
    </w:r>
  </w:p>
  <w:p w14:paraId="550A7087" w14:textId="77777777" w:rsidR="00CA0843" w:rsidRPr="003605A6" w:rsidRDefault="00CA0843" w:rsidP="00CA0843">
    <w:pPr>
      <w:spacing w:beforeLines="1" w:before="2" w:afterLines="1" w:after="2"/>
      <w:jc w:val="center"/>
      <w:rPr>
        <w:rFonts w:ascii="Arial" w:hAnsi="Arial" w:cs="Times New Roman"/>
        <w:color w:val="7F7F7F"/>
        <w:sz w:val="16"/>
        <w:szCs w:val="16"/>
      </w:rPr>
    </w:pPr>
    <w:r>
      <w:rPr>
        <w:rFonts w:ascii="Arial" w:hAnsi="Arial"/>
        <w:color w:val="7F7F7F"/>
        <w:sz w:val="16"/>
      </w:rPr>
      <w:t xml:space="preserve">Rue du Petit-Château 1 - Case postale 374 - CH-2301 La Chaux-de-Fonds - Suisse </w:t>
    </w:r>
  </w:p>
  <w:p w14:paraId="75D41550" w14:textId="2FF8CBC7" w:rsidR="00CA0843" w:rsidRPr="00FA40B1" w:rsidRDefault="00CA0843" w:rsidP="00FA40B1">
    <w:pPr>
      <w:spacing w:beforeLines="1" w:before="2" w:afterLines="1" w:after="2"/>
      <w:jc w:val="center"/>
      <w:rPr>
        <w:rFonts w:ascii="Times" w:hAnsi="Times" w:cs="Times New Roman"/>
        <w:sz w:val="20"/>
        <w:szCs w:val="20"/>
      </w:rPr>
    </w:pPr>
    <w:r>
      <w:rPr>
        <w:rFonts w:ascii="Arial" w:hAnsi="Arial"/>
        <w:color w:val="7F7F7F"/>
        <w:sz w:val="16"/>
      </w:rPr>
      <w:t>Tel. +41 (0) 32 967 06 70 - Fax +41 (0) 32 967 06 00 - pr@corum.ch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C47AF" w14:textId="77777777" w:rsidR="00B27EAE" w:rsidRDefault="00B27EAE" w:rsidP="00CA0843">
      <w:r>
        <w:separator/>
      </w:r>
    </w:p>
  </w:footnote>
  <w:footnote w:type="continuationSeparator" w:id="0">
    <w:p w14:paraId="6C120A49" w14:textId="77777777" w:rsidR="00B27EAE" w:rsidRDefault="00B27EAE" w:rsidP="00CA0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52329" w14:textId="39388BC1" w:rsidR="00CA0843" w:rsidRDefault="00CA0843">
    <w:pPr>
      <w:pStyle w:val="En-tte"/>
    </w:pPr>
    <w:r>
      <w:rPr>
        <w:noProof/>
      </w:rPr>
      <w:drawing>
        <wp:anchor distT="0" distB="0" distL="114300" distR="114300" simplePos="0" relativeHeight="251658240" behindDoc="0" locked="0" layoutInCell="1" allowOverlap="1" wp14:anchorId="5DC8AE02" wp14:editId="5251E6CF">
          <wp:simplePos x="0" y="0"/>
          <wp:positionH relativeFrom="column">
            <wp:posOffset>2279650</wp:posOffset>
          </wp:positionH>
          <wp:positionV relativeFrom="paragraph">
            <wp:posOffset>-127000</wp:posOffset>
          </wp:positionV>
          <wp:extent cx="1476000" cy="896400"/>
          <wp:effectExtent l="0" t="0" r="0" b="5715"/>
          <wp:wrapThrough wrapText="bothSides">
            <wp:wrapPolygon edited="0">
              <wp:start x="10410" y="0"/>
              <wp:lineTo x="9480" y="306"/>
              <wp:lineTo x="9108" y="6736"/>
              <wp:lineTo x="9480" y="9185"/>
              <wp:lineTo x="10781" y="10103"/>
              <wp:lineTo x="0" y="11634"/>
              <wp:lineTo x="0" y="17758"/>
              <wp:lineTo x="10781" y="19901"/>
              <wp:lineTo x="0" y="19901"/>
              <wp:lineTo x="0" y="21432"/>
              <wp:lineTo x="21377" y="21432"/>
              <wp:lineTo x="21377" y="19901"/>
              <wp:lineTo x="10781" y="19901"/>
              <wp:lineTo x="21377" y="18064"/>
              <wp:lineTo x="21377" y="11634"/>
              <wp:lineTo x="10781" y="10103"/>
              <wp:lineTo x="11897" y="9797"/>
              <wp:lineTo x="12826" y="6429"/>
              <wp:lineTo x="12269" y="612"/>
              <wp:lineTo x="11525" y="0"/>
              <wp:lineTo x="10410" y="0"/>
            </wp:wrapPolygon>
          </wp:wrapThrough>
          <wp:docPr id="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RUM_LOGO_AVANTGARDE_LOCKUP_BLACK.pdf"/>
                  <pic:cNvPicPr/>
                </pic:nvPicPr>
                <pic:blipFill>
                  <a:blip r:embed="rId1">
                    <a:extLst>
                      <a:ext uri="{28A0092B-C50C-407E-A947-70E740481C1C}">
                        <a14:useLocalDpi xmlns:a14="http://schemas.microsoft.com/office/drawing/2010/main" val="0"/>
                      </a:ext>
                    </a:extLst>
                  </a:blip>
                  <a:stretch>
                    <a:fillRect/>
                  </a:stretch>
                </pic:blipFill>
                <pic:spPr>
                  <a:xfrm>
                    <a:off x="0" y="0"/>
                    <a:ext cx="1476000" cy="8964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6C8"/>
    <w:rsid w:val="000912C8"/>
    <w:rsid w:val="001F5F84"/>
    <w:rsid w:val="00233F78"/>
    <w:rsid w:val="00244CE5"/>
    <w:rsid w:val="003A0343"/>
    <w:rsid w:val="003C7AB4"/>
    <w:rsid w:val="003F1B89"/>
    <w:rsid w:val="003F5E95"/>
    <w:rsid w:val="00420E06"/>
    <w:rsid w:val="00467BF1"/>
    <w:rsid w:val="004A6C77"/>
    <w:rsid w:val="004E051E"/>
    <w:rsid w:val="00587A60"/>
    <w:rsid w:val="0059383A"/>
    <w:rsid w:val="00686C00"/>
    <w:rsid w:val="006F3715"/>
    <w:rsid w:val="006F5482"/>
    <w:rsid w:val="0072492E"/>
    <w:rsid w:val="007D0F36"/>
    <w:rsid w:val="007F3DA5"/>
    <w:rsid w:val="00803CB7"/>
    <w:rsid w:val="008575A2"/>
    <w:rsid w:val="008939D2"/>
    <w:rsid w:val="008E775C"/>
    <w:rsid w:val="00937304"/>
    <w:rsid w:val="009A57E1"/>
    <w:rsid w:val="00AC0A7E"/>
    <w:rsid w:val="00B27EAE"/>
    <w:rsid w:val="00BC2F57"/>
    <w:rsid w:val="00CA0843"/>
    <w:rsid w:val="00D0724B"/>
    <w:rsid w:val="00DA3F91"/>
    <w:rsid w:val="00DA6A9C"/>
    <w:rsid w:val="00DE76C8"/>
    <w:rsid w:val="00E0677F"/>
    <w:rsid w:val="00E115E3"/>
    <w:rsid w:val="00E216B3"/>
    <w:rsid w:val="00E76CFF"/>
    <w:rsid w:val="00F1402C"/>
    <w:rsid w:val="00F30DCE"/>
    <w:rsid w:val="00F94E16"/>
    <w:rsid w:val="00FA40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258719"/>
  <w15:chartTrackingRefBased/>
  <w15:docId w15:val="{F2FDF134-711E-9241-9F92-AF1F0DC90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r-FR" w:eastAsia="fr-FR" w:bidi="fr-FR"/>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qFormat/>
    <w:rsid w:val="00CA0843"/>
    <w:pPr>
      <w:keepNext/>
      <w:outlineLvl w:val="0"/>
    </w:pPr>
    <w:rPr>
      <w:rFonts w:ascii="AGaramond" w:eastAsia="Times" w:hAnsi="AGaramond" w:cs="Times New Roman"/>
      <w:b/>
      <w:sz w:val="3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E216B3"/>
    <w:pPr>
      <w:spacing w:before="100" w:beforeAutospacing="1" w:after="100" w:afterAutospacing="1"/>
    </w:pPr>
    <w:rPr>
      <w:rFonts w:ascii="Times New Roman" w:eastAsia="Times New Roman" w:hAnsi="Times New Roman" w:cs="Times New Roman"/>
    </w:rPr>
  </w:style>
  <w:style w:type="character" w:styleId="Marquedecommentaire">
    <w:name w:val="annotation reference"/>
    <w:basedOn w:val="Policepardfaut"/>
    <w:uiPriority w:val="99"/>
    <w:semiHidden/>
    <w:unhideWhenUsed/>
    <w:rsid w:val="006F3715"/>
    <w:rPr>
      <w:sz w:val="16"/>
      <w:szCs w:val="16"/>
    </w:rPr>
  </w:style>
  <w:style w:type="paragraph" w:styleId="Commentaire">
    <w:name w:val="annotation text"/>
    <w:basedOn w:val="Normal"/>
    <w:link w:val="CommentaireCar"/>
    <w:uiPriority w:val="99"/>
    <w:semiHidden/>
    <w:unhideWhenUsed/>
    <w:rsid w:val="006F3715"/>
    <w:rPr>
      <w:sz w:val="20"/>
      <w:szCs w:val="20"/>
    </w:rPr>
  </w:style>
  <w:style w:type="character" w:customStyle="1" w:styleId="CommentaireCar">
    <w:name w:val="Commentaire Car"/>
    <w:basedOn w:val="Policepardfaut"/>
    <w:link w:val="Commentaire"/>
    <w:uiPriority w:val="99"/>
    <w:semiHidden/>
    <w:rsid w:val="006F3715"/>
    <w:rPr>
      <w:sz w:val="20"/>
      <w:szCs w:val="20"/>
    </w:rPr>
  </w:style>
  <w:style w:type="paragraph" w:styleId="Objetducommentaire">
    <w:name w:val="annotation subject"/>
    <w:basedOn w:val="Commentaire"/>
    <w:next w:val="Commentaire"/>
    <w:link w:val="ObjetducommentaireCar"/>
    <w:uiPriority w:val="99"/>
    <w:semiHidden/>
    <w:unhideWhenUsed/>
    <w:rsid w:val="006F3715"/>
    <w:rPr>
      <w:b/>
      <w:bCs/>
    </w:rPr>
  </w:style>
  <w:style w:type="character" w:customStyle="1" w:styleId="ObjetducommentaireCar">
    <w:name w:val="Objet du commentaire Car"/>
    <w:basedOn w:val="CommentaireCar"/>
    <w:link w:val="Objetducommentaire"/>
    <w:uiPriority w:val="99"/>
    <w:semiHidden/>
    <w:rsid w:val="006F3715"/>
    <w:rPr>
      <w:b/>
      <w:bCs/>
      <w:sz w:val="20"/>
      <w:szCs w:val="20"/>
    </w:rPr>
  </w:style>
  <w:style w:type="paragraph" w:styleId="Textedebulles">
    <w:name w:val="Balloon Text"/>
    <w:basedOn w:val="Normal"/>
    <w:link w:val="TextedebullesCar"/>
    <w:uiPriority w:val="99"/>
    <w:semiHidden/>
    <w:unhideWhenUsed/>
    <w:rsid w:val="006F3715"/>
    <w:rPr>
      <w:rFonts w:ascii="Segoe UI" w:hAnsi="Segoe UI" w:cs="Segoe UI"/>
      <w:sz w:val="18"/>
      <w:szCs w:val="18"/>
    </w:rPr>
  </w:style>
  <w:style w:type="character" w:customStyle="1" w:styleId="TextedebullesCar">
    <w:name w:val="Texte de bulles Car"/>
    <w:basedOn w:val="Policepardfaut"/>
    <w:link w:val="Textedebulles"/>
    <w:uiPriority w:val="99"/>
    <w:semiHidden/>
    <w:rsid w:val="006F3715"/>
    <w:rPr>
      <w:rFonts w:ascii="Segoe UI" w:hAnsi="Segoe UI" w:cs="Segoe UI"/>
      <w:sz w:val="18"/>
      <w:szCs w:val="18"/>
    </w:rPr>
  </w:style>
  <w:style w:type="character" w:customStyle="1" w:styleId="Titre1Car">
    <w:name w:val="Titre 1 Car"/>
    <w:basedOn w:val="Policepardfaut"/>
    <w:link w:val="Titre1"/>
    <w:rsid w:val="00CA0843"/>
    <w:rPr>
      <w:rFonts w:ascii="AGaramond" w:eastAsia="Times" w:hAnsi="AGaramond" w:cs="Times New Roman"/>
      <w:b/>
      <w:sz w:val="32"/>
      <w:szCs w:val="20"/>
      <w:lang w:eastAsia="fr-FR"/>
    </w:rPr>
  </w:style>
  <w:style w:type="paragraph" w:styleId="Corpsdetexte">
    <w:name w:val="Body Text"/>
    <w:basedOn w:val="Normal"/>
    <w:link w:val="CorpsdetexteCar"/>
    <w:uiPriority w:val="99"/>
    <w:unhideWhenUsed/>
    <w:rsid w:val="00CA0843"/>
    <w:pPr>
      <w:spacing w:before="100" w:beforeAutospacing="1" w:after="100" w:afterAutospacing="1"/>
    </w:pPr>
    <w:rPr>
      <w:rFonts w:ascii="Times New Roman" w:eastAsia="Times New Roman" w:hAnsi="Times New Roman" w:cs="Times New Roman"/>
    </w:rPr>
  </w:style>
  <w:style w:type="character" w:customStyle="1" w:styleId="CorpsdetexteCar">
    <w:name w:val="Corps de texte Car"/>
    <w:basedOn w:val="Policepardfaut"/>
    <w:link w:val="Corpsdetexte"/>
    <w:uiPriority w:val="99"/>
    <w:rsid w:val="00CA0843"/>
    <w:rPr>
      <w:rFonts w:ascii="Times New Roman" w:eastAsia="Times New Roman" w:hAnsi="Times New Roman" w:cs="Times New Roman"/>
      <w:lang w:val="fr-FR" w:eastAsia="fr-FR"/>
    </w:rPr>
  </w:style>
  <w:style w:type="paragraph" w:styleId="En-tte">
    <w:name w:val="header"/>
    <w:basedOn w:val="Normal"/>
    <w:link w:val="En-tteCar"/>
    <w:uiPriority w:val="99"/>
    <w:unhideWhenUsed/>
    <w:rsid w:val="00CA0843"/>
    <w:pPr>
      <w:tabs>
        <w:tab w:val="center" w:pos="4536"/>
        <w:tab w:val="right" w:pos="9072"/>
      </w:tabs>
    </w:pPr>
  </w:style>
  <w:style w:type="character" w:customStyle="1" w:styleId="En-tteCar">
    <w:name w:val="En-tête Car"/>
    <w:basedOn w:val="Policepardfaut"/>
    <w:link w:val="En-tte"/>
    <w:uiPriority w:val="99"/>
    <w:rsid w:val="00CA0843"/>
  </w:style>
  <w:style w:type="paragraph" w:styleId="Pieddepage">
    <w:name w:val="footer"/>
    <w:basedOn w:val="Normal"/>
    <w:link w:val="PieddepageCar"/>
    <w:uiPriority w:val="99"/>
    <w:unhideWhenUsed/>
    <w:rsid w:val="00CA0843"/>
    <w:pPr>
      <w:tabs>
        <w:tab w:val="center" w:pos="4536"/>
        <w:tab w:val="right" w:pos="9072"/>
      </w:tabs>
    </w:pPr>
  </w:style>
  <w:style w:type="character" w:customStyle="1" w:styleId="PieddepageCar">
    <w:name w:val="Pied de page Car"/>
    <w:basedOn w:val="Policepardfaut"/>
    <w:link w:val="Pieddepage"/>
    <w:uiPriority w:val="99"/>
    <w:rsid w:val="00CA08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898686">
      <w:bodyDiv w:val="1"/>
      <w:marLeft w:val="0"/>
      <w:marRight w:val="0"/>
      <w:marTop w:val="0"/>
      <w:marBottom w:val="0"/>
      <w:divBdr>
        <w:top w:val="none" w:sz="0" w:space="0" w:color="auto"/>
        <w:left w:val="none" w:sz="0" w:space="0" w:color="auto"/>
        <w:bottom w:val="none" w:sz="0" w:space="0" w:color="auto"/>
        <w:right w:val="none" w:sz="0" w:space="0" w:color="auto"/>
      </w:divBdr>
      <w:divsChild>
        <w:div w:id="21319606">
          <w:marLeft w:val="0"/>
          <w:marRight w:val="0"/>
          <w:marTop w:val="0"/>
          <w:marBottom w:val="0"/>
          <w:divBdr>
            <w:top w:val="none" w:sz="0" w:space="0" w:color="auto"/>
            <w:left w:val="none" w:sz="0" w:space="0" w:color="auto"/>
            <w:bottom w:val="none" w:sz="0" w:space="0" w:color="auto"/>
            <w:right w:val="none" w:sz="0" w:space="0" w:color="auto"/>
          </w:divBdr>
          <w:divsChild>
            <w:div w:id="1247031019">
              <w:marLeft w:val="0"/>
              <w:marRight w:val="0"/>
              <w:marTop w:val="0"/>
              <w:marBottom w:val="0"/>
              <w:divBdr>
                <w:top w:val="none" w:sz="0" w:space="0" w:color="auto"/>
                <w:left w:val="none" w:sz="0" w:space="0" w:color="auto"/>
                <w:bottom w:val="none" w:sz="0" w:space="0" w:color="auto"/>
                <w:right w:val="none" w:sz="0" w:space="0" w:color="auto"/>
              </w:divBdr>
              <w:divsChild>
                <w:div w:id="661783868">
                  <w:marLeft w:val="0"/>
                  <w:marRight w:val="0"/>
                  <w:marTop w:val="0"/>
                  <w:marBottom w:val="0"/>
                  <w:divBdr>
                    <w:top w:val="none" w:sz="0" w:space="0" w:color="auto"/>
                    <w:left w:val="none" w:sz="0" w:space="0" w:color="auto"/>
                    <w:bottom w:val="none" w:sz="0" w:space="0" w:color="auto"/>
                    <w:right w:val="none" w:sz="0" w:space="0" w:color="auto"/>
                  </w:divBdr>
                  <w:divsChild>
                    <w:div w:id="48656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06D81-1F2F-1D42-902A-3B0FC3696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673</Words>
  <Characters>3707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dc:creator>
  <cp:keywords/>
  <dc:description/>
  <cp:lastModifiedBy>c.biessy@dotscomms.com</cp:lastModifiedBy>
  <cp:revision>3</cp:revision>
  <cp:lastPrinted>2020-03-17T19:43:00Z</cp:lastPrinted>
  <dcterms:created xsi:type="dcterms:W3CDTF">2020-05-06T13:09:00Z</dcterms:created>
  <dcterms:modified xsi:type="dcterms:W3CDTF">2020-05-06T13:10:00Z</dcterms:modified>
</cp:coreProperties>
</file>