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BCCF3" w14:textId="77777777" w:rsidR="00CA0843" w:rsidRPr="00D36722" w:rsidRDefault="00CA0843" w:rsidP="00E0677F">
      <w:pPr>
        <w:jc w:val="center"/>
        <w:rPr>
          <w:rFonts w:ascii="Century Gothic" w:hAnsi="Century Gothic" w:cs="Times New Roman"/>
          <w:b/>
          <w:bCs/>
          <w:sz w:val="36"/>
          <w:szCs w:val="36"/>
        </w:rPr>
      </w:pPr>
    </w:p>
    <w:p w14:paraId="2A9D1178" w14:textId="77777777" w:rsidR="00CA0843" w:rsidRPr="00D36722" w:rsidRDefault="00CA0843" w:rsidP="00E0677F">
      <w:pPr>
        <w:jc w:val="center"/>
        <w:rPr>
          <w:rFonts w:ascii="Century Gothic" w:hAnsi="Century Gothic" w:cs="Times New Roman"/>
          <w:b/>
          <w:bCs/>
          <w:sz w:val="36"/>
          <w:szCs w:val="36"/>
        </w:rPr>
      </w:pPr>
    </w:p>
    <w:p w14:paraId="1F41D6DE" w14:textId="77777777" w:rsidR="00CA0843" w:rsidRPr="00D36722" w:rsidRDefault="00CA0843" w:rsidP="00E0677F">
      <w:pPr>
        <w:jc w:val="center"/>
        <w:rPr>
          <w:rFonts w:ascii="Century Gothic" w:hAnsi="Century Gothic" w:cs="Times New Roman"/>
          <w:b/>
          <w:bCs/>
          <w:sz w:val="36"/>
          <w:szCs w:val="36"/>
        </w:rPr>
      </w:pPr>
    </w:p>
    <w:p w14:paraId="677C4D7F" w14:textId="28C56453" w:rsidR="00C85639" w:rsidRPr="00D36722" w:rsidRDefault="00FF4675" w:rsidP="00E0677F">
      <w:pPr>
        <w:jc w:val="center"/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</w:pPr>
      <w:r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  <w:t xml:space="preserve">Corum </w:t>
      </w:r>
      <w:r w:rsidRPr="00D36722">
        <w:rPr>
          <w:rFonts w:ascii="Century Gothic" w:eastAsiaTheme="minorEastAsia" w:hAnsi="Century Gothic" w:cs="Times New Roman" w:hint="eastAsia"/>
          <w:b/>
          <w:bCs/>
          <w:sz w:val="36"/>
          <w:szCs w:val="36"/>
          <w:lang w:eastAsia="zh-CN"/>
        </w:rPr>
        <w:t>推出全新</w:t>
      </w:r>
      <w:r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  <w:t xml:space="preserve"> LAB 02 </w:t>
      </w:r>
      <w:r w:rsidRPr="00D36722">
        <w:rPr>
          <w:rFonts w:ascii="Century Gothic" w:eastAsiaTheme="minorEastAsia" w:hAnsi="Century Gothic" w:cs="Times New Roman" w:hint="eastAsia"/>
          <w:b/>
          <w:bCs/>
          <w:sz w:val="36"/>
          <w:szCs w:val="36"/>
          <w:lang w:eastAsia="zh-CN"/>
        </w:rPr>
        <w:t>系列</w:t>
      </w:r>
    </w:p>
    <w:p w14:paraId="5588AF44" w14:textId="395F57E2" w:rsidR="00C85639" w:rsidRPr="00D36722" w:rsidRDefault="00FF4675" w:rsidP="00E0677F">
      <w:pPr>
        <w:jc w:val="center"/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</w:pPr>
      <w:r w:rsidRPr="00D36722">
        <w:rPr>
          <w:rFonts w:ascii="Century Gothic" w:eastAsiaTheme="minorEastAsia" w:hAnsi="Century Gothic" w:cs="Times New Roman" w:hint="eastAsia"/>
          <w:b/>
          <w:bCs/>
          <w:sz w:val="36"/>
          <w:szCs w:val="36"/>
          <w:lang w:eastAsia="zh-CN"/>
        </w:rPr>
        <w:t>创新设计突显品牌前卫风格</w:t>
      </w:r>
    </w:p>
    <w:p w14:paraId="7E6755C9" w14:textId="5D530697" w:rsidR="008939D2" w:rsidRPr="00D36722" w:rsidRDefault="008939D2">
      <w:pPr>
        <w:rPr>
          <w:rFonts w:ascii="Century Gothic" w:hAnsi="Century Gothic" w:cs="Times New Roman"/>
          <w:lang w:eastAsia="zh-CN"/>
        </w:rPr>
      </w:pPr>
    </w:p>
    <w:p w14:paraId="1799B997" w14:textId="77777777" w:rsidR="008C1AF8" w:rsidRPr="00D36722" w:rsidRDefault="008C1AF8" w:rsidP="00771C1A">
      <w:pPr>
        <w:jc w:val="both"/>
        <w:rPr>
          <w:rFonts w:ascii="Century Gothic" w:hAnsi="Century Gothic" w:cs="Times New Roman"/>
          <w:sz w:val="22"/>
          <w:szCs w:val="22"/>
          <w:lang w:eastAsia="zh-CN"/>
        </w:rPr>
      </w:pPr>
    </w:p>
    <w:p w14:paraId="7B3C99B9" w14:textId="1610766C" w:rsidR="0067638E" w:rsidRPr="00D36722" w:rsidRDefault="00FF4675" w:rsidP="00D36722">
      <w:pPr>
        <w:ind w:firstLine="720"/>
        <w:jc w:val="both"/>
        <w:rPr>
          <w:rFonts w:ascii="Century Gothic" w:hAnsi="Century Gothic" w:cs="Times New Roman"/>
          <w:sz w:val="22"/>
          <w:szCs w:val="22"/>
          <w:lang w:eastAsia="zh-CN"/>
        </w:rPr>
      </w:pP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紧随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“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敢创，成就非凡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” (Risk is the Reward)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的全新品牌宣传计划，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Corum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昆仑表推出设计大胆的全新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LAB 02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系列，突显品牌敢于创新的品牌精神。颠覆所有制表传统，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LAB 02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除了拥有革命性的外形设计，还搭载花费两年时间研发的全新机芯，配备了飞行齿轮系统，并为品牌创造了许多第一次。</w:t>
      </w:r>
    </w:p>
    <w:p w14:paraId="3E4F1B3C" w14:textId="7BD49C84" w:rsidR="00E0677F" w:rsidRPr="00D36722" w:rsidRDefault="00E0677F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2BC49B1C" w14:textId="0C078F09" w:rsidR="00A90911" w:rsidRPr="00D36722" w:rsidRDefault="00FF4675" w:rsidP="00D36722">
      <w:pPr>
        <w:ind w:firstLine="720"/>
        <w:jc w:val="both"/>
        <w:rPr>
          <w:rFonts w:ascii="Century Gothic" w:hAnsi="Century Gothic" w:cs="Times New Roman"/>
          <w:sz w:val="22"/>
          <w:szCs w:val="22"/>
          <w:lang w:eastAsia="zh-CN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LAB 02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是极致美学和非凡工艺的完美示范。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高度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复杂的手动机芯，打破了无限的想象空间以及制表过程中的实质限制。在创作过程中，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Corum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的研发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团队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不断自我挑战，除了飞行陀飞轮，他们还希望腕表可以包含飞行齿轮系统；而他们更为自己提出一个难题：如果机芯没有夹板桥去巩固是否可行？之后便孜孜不倦地寻找答案。</w:t>
      </w:r>
    </w:p>
    <w:p w14:paraId="792F3F75" w14:textId="77777777" w:rsidR="003F5E95" w:rsidRPr="00D36722" w:rsidRDefault="003F5E95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364A309E" w14:textId="76319E13" w:rsidR="00A36A3C" w:rsidRPr="00D36722" w:rsidRDefault="00FF4675" w:rsidP="00D36722">
      <w:pPr>
        <w:ind w:firstLine="720"/>
        <w:rPr>
          <w:rFonts w:ascii="Century Gothic" w:hAnsi="Century Gothic" w:cs="Times New Roman"/>
          <w:sz w:val="22"/>
          <w:szCs w:val="22"/>
          <w:lang w:eastAsia="zh-CN"/>
        </w:rPr>
      </w:pP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两年之后的今日，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Corum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终于隆重发表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LAB 02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。全新的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CO 300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机芯，拥有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416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个独立部件，全部经过精心镂空和细致打磨；每一枚腕表都是人手装嵌，飞行陀飞轮处于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6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点钟位置；三个飞行轮盘分别代表小时、分、秒，而夹板桥就直接放置在夹板上。</w:t>
      </w:r>
    </w:p>
    <w:p w14:paraId="6430090B" w14:textId="74E009E5" w:rsidR="00DA3F91" w:rsidRPr="00D36722" w:rsidRDefault="00DA3F91" w:rsidP="006F5482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4E4DD01D" w14:textId="748F1EF6" w:rsidR="00A11970" w:rsidRPr="00D36722" w:rsidRDefault="00FF4675" w:rsidP="00D36722">
      <w:pPr>
        <w:ind w:firstLine="720"/>
        <w:jc w:val="both"/>
        <w:rPr>
          <w:rFonts w:ascii="Century Gothic" w:hAnsi="Century Gothic" w:cs="Times New Roman"/>
          <w:sz w:val="22"/>
          <w:szCs w:val="22"/>
          <w:lang w:eastAsia="zh-CN"/>
        </w:rPr>
      </w:pP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要打造一个不是安放于夹板和夹板桥中间的机芯，需要克服许多技术上的困难。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LAB 02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需要运用较长的轴针去承托齿轮系统，而由于表盘上方没有夹板桥，要使用滚珠轴轮去代替常用的宝石，以增加承托力和稳定性。夹板桥本身高度镂空，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让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整个机芯放置在完全透明的蓝宝石水晶表盘上，使腕表精密结构一览无遗，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也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令人感觉所有部件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好像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在空气中悬浮，透出空灵感觉。</w:t>
      </w:r>
    </w:p>
    <w:p w14:paraId="1A5ABAF7" w14:textId="25C354BF" w:rsidR="00A11970" w:rsidRPr="00D36722" w:rsidRDefault="00A11970" w:rsidP="006F5482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76750AB5" w14:textId="5E1815DF" w:rsidR="00056644" w:rsidRPr="00D36722" w:rsidRDefault="00FF4675" w:rsidP="00D36722">
      <w:pPr>
        <w:ind w:firstLine="720"/>
        <w:rPr>
          <w:rFonts w:ascii="Century Gothic" w:hAnsi="Century Gothic" w:cs="Times New Roman"/>
          <w:sz w:val="22"/>
          <w:szCs w:val="22"/>
          <w:lang w:eastAsia="zh-CN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LAB 02 4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点钟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位置设有大日历，动力储存显示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（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55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小时）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设置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8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时位置；其摆放位置非常特别，可以从透明表盖侧面见到装置运作。</w:t>
      </w:r>
      <w:r w:rsidR="007E2386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由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于此枚直径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45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毫米的腕表制作过程非常繁复，品牌只会生产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10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只，每只都有独立编号标明在发条盒上。</w:t>
      </w:r>
    </w:p>
    <w:p w14:paraId="5583C955" w14:textId="77777777" w:rsidR="00D0724B" w:rsidRPr="00D36722" w:rsidRDefault="00D0724B" w:rsidP="00D0724B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30D300D4" w14:textId="5BE0ED55" w:rsidR="0061084A" w:rsidRPr="00D36722" w:rsidRDefault="00FF4675" w:rsidP="00D36722">
      <w:pPr>
        <w:ind w:firstLine="720"/>
        <w:jc w:val="both"/>
        <w:rPr>
          <w:rFonts w:ascii="Century Gothic" w:hAnsi="Century Gothic" w:cs="Times New Roman"/>
          <w:sz w:val="22"/>
          <w:szCs w:val="22"/>
          <w:lang w:eastAsia="zh-CN"/>
        </w:rPr>
      </w:pP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每只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LAB 02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更可以特别订制，用家可以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挑选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自己心仪的</w:t>
      </w:r>
      <w:r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材质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（玫瑰金或白金）、钻石的切割和镶嵌方法，也可以选用颜色宝石。如按照使用玫瑰金</w:t>
      </w:r>
      <w:r w:rsidR="007E2386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材质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和没有钻石的款式作为标准，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LAB 02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的起步价</w:t>
      </w:r>
      <w:r w:rsidR="002120F0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大约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为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CHF180,000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。</w:t>
      </w:r>
    </w:p>
    <w:p w14:paraId="29C32EEB" w14:textId="77777777" w:rsidR="00D0724B" w:rsidRPr="00D36722" w:rsidRDefault="00D0724B" w:rsidP="00D0724B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0244200E" w14:textId="45AFAE13" w:rsidR="00FF4951" w:rsidRPr="00D36722" w:rsidRDefault="00FF4675" w:rsidP="00D36722">
      <w:pPr>
        <w:ind w:firstLine="720"/>
        <w:rPr>
          <w:rFonts w:ascii="Century Gothic" w:hAnsi="Century Gothic" w:cs="Times New Roman"/>
          <w:sz w:val="22"/>
          <w:szCs w:val="22"/>
          <w:lang w:eastAsia="zh-CN"/>
        </w:rPr>
      </w:pP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为了贯彻品牌创办时的初心和宗旨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——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不断以前卫创新去延续未来，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Corum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以大无畏的精神去研发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LAB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系列，是史无前例的一次大胆尝试。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LAB 02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是系列中第二款发表的腕表，之前的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LAB 01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于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2019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年初正式面世。在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Corum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的主要系列里，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LAB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年资最轻也最创新，用来向品牌的创办人致敬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——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他们都是从不轻易妥协的冒险家。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LAB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系列中的所有型号，其设计的先决条件都必须以打破常规为大前提，而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LAB 02 </w:t>
      </w:r>
      <w:r w:rsidRPr="00D36722">
        <w:rPr>
          <w:rFonts w:ascii="Century Gothic" w:eastAsiaTheme="minorEastAsia" w:hAnsi="Century Gothic" w:cs="Times New Roman" w:hint="eastAsia"/>
          <w:sz w:val="22"/>
          <w:szCs w:val="22"/>
          <w:lang w:eastAsia="zh-CN"/>
        </w:rPr>
        <w:t>毫无疑问是做到了。</w:t>
      </w:r>
    </w:p>
    <w:p w14:paraId="33C5174D" w14:textId="2B1BA317" w:rsidR="00796490" w:rsidRDefault="00796490" w:rsidP="00D0724B">
      <w:pPr>
        <w:rPr>
          <w:rFonts w:asciiTheme="minorEastAsia" w:hAnsiTheme="minorEastAsia" w:cs="Times New Roman"/>
          <w:sz w:val="22"/>
          <w:szCs w:val="22"/>
          <w:lang w:eastAsia="zh-CN"/>
        </w:rPr>
      </w:pPr>
    </w:p>
    <w:p w14:paraId="5E4C7315" w14:textId="35E7E2A4" w:rsidR="00796490" w:rsidRDefault="00796490" w:rsidP="00D0724B">
      <w:pPr>
        <w:rPr>
          <w:rFonts w:asciiTheme="minorEastAsia" w:hAnsiTheme="minorEastAsia" w:cs="Times New Roman"/>
          <w:sz w:val="22"/>
          <w:szCs w:val="22"/>
          <w:lang w:eastAsia="zh-CN"/>
        </w:rPr>
      </w:pPr>
    </w:p>
    <w:p w14:paraId="1BEE8AA4" w14:textId="29497FFC" w:rsidR="00796490" w:rsidRDefault="00796490" w:rsidP="00D0724B">
      <w:pPr>
        <w:rPr>
          <w:rFonts w:asciiTheme="minorEastAsia" w:hAnsiTheme="minorEastAsia" w:cs="Times New Roman"/>
          <w:sz w:val="22"/>
          <w:szCs w:val="22"/>
          <w:lang w:eastAsia="zh-CN"/>
        </w:rPr>
      </w:pPr>
    </w:p>
    <w:p w14:paraId="03BFA830" w14:textId="77777777" w:rsidR="00796490" w:rsidRPr="00796490" w:rsidRDefault="00796490" w:rsidP="00D0724B">
      <w:pPr>
        <w:rPr>
          <w:rFonts w:ascii="Century Gothic" w:hAnsi="Century Gothic" w:cs="Times New Roman"/>
          <w:sz w:val="22"/>
          <w:szCs w:val="22"/>
          <w:lang w:eastAsia="zh-CN"/>
        </w:rPr>
      </w:pPr>
    </w:p>
    <w:p w14:paraId="0482655E" w14:textId="2B107A14" w:rsidR="00D0724B" w:rsidRDefault="00D0724B" w:rsidP="00D0724B">
      <w:pPr>
        <w:rPr>
          <w:rFonts w:ascii="Times New Roman" w:hAnsi="Times New Roman" w:cs="Times New Roman"/>
          <w:lang w:eastAsia="zh-CN"/>
        </w:rPr>
      </w:pPr>
    </w:p>
    <w:p w14:paraId="28212EB7" w14:textId="63677526" w:rsidR="00796490" w:rsidRPr="00534A57" w:rsidRDefault="00FF4675" w:rsidP="00796490">
      <w:pPr>
        <w:pStyle w:val="Titre1"/>
        <w:spacing w:before="99"/>
        <w:jc w:val="both"/>
        <w:rPr>
          <w:rFonts w:ascii="Century Gothic" w:eastAsiaTheme="minorEastAsia" w:hAnsi="Century Gothic" w:cstheme="minorBidi"/>
          <w:bCs/>
          <w:sz w:val="28"/>
          <w:szCs w:val="28"/>
          <w:lang w:val="en-GB" w:eastAsia="zh-CN" w:bidi="en-GB"/>
        </w:rPr>
      </w:pPr>
      <w:r w:rsidRPr="00534A57">
        <w:rPr>
          <w:rFonts w:ascii="Century Gothic" w:eastAsiaTheme="minorEastAsia" w:hAnsi="Century Gothic" w:cs="PMingLiU" w:hint="eastAsia"/>
          <w:bCs/>
          <w:sz w:val="28"/>
          <w:szCs w:val="28"/>
          <w:lang w:val="en-GB" w:eastAsia="zh-CN" w:bidi="en-GB"/>
        </w:rPr>
        <w:t>有关昆仑表</w:t>
      </w:r>
    </w:p>
    <w:p w14:paraId="1C09F248" w14:textId="6ED7314B" w:rsidR="00796490" w:rsidRPr="00534A57" w:rsidRDefault="00FF4675" w:rsidP="00796490">
      <w:pPr>
        <w:pStyle w:val="Corpsdetexte"/>
        <w:spacing w:before="3" w:beforeAutospacing="0" w:after="0" w:afterAutospacing="0"/>
        <w:rPr>
          <w:rFonts w:ascii="Century Gothic" w:eastAsiaTheme="minorEastAsia" w:hAnsi="Century Gothic"/>
          <w:lang w:val="en-US"/>
        </w:rPr>
      </w:pPr>
      <w:r w:rsidRPr="00534A57">
        <w:rPr>
          <w:rFonts w:ascii="Century Gothic" w:eastAsiaTheme="minorEastAsia" w:hAnsi="Century Gothic"/>
          <w:lang w:val="en-US" w:eastAsia="zh-CN"/>
        </w:rPr>
        <w:t> </w:t>
      </w:r>
    </w:p>
    <w:p w14:paraId="44A078CA" w14:textId="1C5AB7E0" w:rsidR="00796490" w:rsidRPr="00534A57" w:rsidRDefault="00FF4675" w:rsidP="00796490">
      <w:pPr>
        <w:pStyle w:val="Corpsdetexte"/>
        <w:spacing w:before="3" w:beforeAutospacing="0" w:after="0" w:afterAutospacing="0"/>
        <w:jc w:val="both"/>
        <w:rPr>
          <w:rFonts w:ascii="Century Gothic" w:eastAsiaTheme="minorEastAsia" w:hAnsi="Century Gothic" w:cs="Calibri"/>
          <w:sz w:val="22"/>
          <w:szCs w:val="22"/>
          <w:lang w:val="en-US"/>
        </w:rPr>
      </w:pP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成立于</w:t>
      </w:r>
      <w:r w:rsidR="00796490"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CN"/>
        </w:rPr>
        <w:t>1955</w:t>
      </w: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年的昆仑表代表制表产业中富有创意和胆识的一面。</w:t>
      </w:r>
      <w:r w:rsidR="00796490"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CN"/>
        </w:rPr>
        <w:t xml:space="preserve"> </w:t>
      </w: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昆仑表采用了一种跳脱传统框架的途径，对机芯结构、表壳以及面盘修饰工艺进行再概念化。在众多技术成就（直线型机芯）和美学成就（钱币表，羽毛表，泡泡表）的背后，昆仑表其实延续了超越时代的高级制表传统。</w:t>
      </w:r>
    </w:p>
    <w:p w14:paraId="5B46C5E8" w14:textId="77777777" w:rsidR="00796490" w:rsidRPr="00534A57" w:rsidRDefault="00796490" w:rsidP="00796490">
      <w:pPr>
        <w:pStyle w:val="Corpsdetexte"/>
        <w:spacing w:before="3" w:beforeAutospacing="0" w:after="0" w:afterAutospacing="0"/>
        <w:rPr>
          <w:rFonts w:ascii="Century Gothic" w:eastAsiaTheme="minorEastAsia" w:hAnsi="Century Gothic"/>
          <w:sz w:val="22"/>
          <w:szCs w:val="22"/>
          <w:lang w:val="en-US"/>
        </w:rPr>
      </w:pPr>
    </w:p>
    <w:p w14:paraId="45233E08" w14:textId="1BC8F618" w:rsidR="00796490" w:rsidRPr="00534A57" w:rsidRDefault="00FF4675" w:rsidP="00796490">
      <w:pPr>
        <w:snapToGrid w:val="0"/>
        <w:spacing w:after="120"/>
        <w:jc w:val="both"/>
        <w:rPr>
          <w:rFonts w:ascii="Century Gothic" w:eastAsiaTheme="minorEastAsia" w:hAnsi="Century Gothic" w:cs="Calibri"/>
          <w:sz w:val="22"/>
          <w:szCs w:val="22"/>
          <w:lang w:eastAsia="zh-TW"/>
        </w:rPr>
      </w:pP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成立于拉绍德封的昆仑表正在向当代、街头艺术以及古典艺术世界敞开大门，并以此吸引了潮流领导者们的关注。昆仑表既具有革命精神，同时又尊重制表传统，保持品牌的独特性，提供充满原创风格的腕表作品献给品味独特的收藏家们。昆仑表现在透过旗下五个主力系列：</w:t>
      </w:r>
      <w:r w:rsidRPr="00534A57">
        <w:rPr>
          <w:rFonts w:ascii="Century Gothic" w:eastAsiaTheme="minorEastAsia" w:hAnsi="Century Gothic" w:cs="Calibri"/>
          <w:sz w:val="22"/>
          <w:szCs w:val="22"/>
          <w:lang w:eastAsia="zh-CN"/>
        </w:rPr>
        <w:t>Admiral</w:t>
      </w: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海军上将、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CN"/>
        </w:rPr>
        <w:t>Golden Bridge</w:t>
      </w: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金桥、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CN"/>
        </w:rPr>
        <w:t>Heritage</w:t>
      </w: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经典、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CN"/>
        </w:rPr>
        <w:t>Lab</w:t>
      </w: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和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CN"/>
        </w:rPr>
        <w:t>Bubble</w:t>
      </w: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泡泡，来体现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CN"/>
        </w:rPr>
        <w:t>21</w:t>
      </w:r>
      <w:r w:rsidRPr="00534A57">
        <w:rPr>
          <w:rStyle w:val="tlid-translation"/>
          <w:rFonts w:ascii="Century Gothic" w:eastAsiaTheme="minorEastAsia" w:hAnsi="Century Gothic" w:cs="Calibri" w:hint="eastAsia"/>
          <w:sz w:val="22"/>
          <w:szCs w:val="22"/>
          <w:lang w:eastAsia="zh-CN"/>
        </w:rPr>
        <w:t>世纪制表愿景。</w:t>
      </w:r>
    </w:p>
    <w:p w14:paraId="322813CE" w14:textId="77777777" w:rsidR="00CA0843" w:rsidRPr="00534A57" w:rsidRDefault="00CA0843" w:rsidP="00D0724B">
      <w:pPr>
        <w:rPr>
          <w:rFonts w:ascii="Century Gothic" w:hAnsi="Century Gothic" w:cs="Times New Roman"/>
          <w:sz w:val="22"/>
          <w:szCs w:val="22"/>
          <w:lang w:eastAsia="zh-TW"/>
        </w:rPr>
      </w:pPr>
    </w:p>
    <w:sectPr w:rsidR="00CA0843" w:rsidRPr="00534A57" w:rsidSect="00FA40B1">
      <w:headerReference w:type="default" r:id="rId7"/>
      <w:footerReference w:type="default" r:id="rId8"/>
      <w:pgSz w:w="12240" w:h="15840"/>
      <w:pgMar w:top="1488" w:right="1440" w:bottom="1440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FA1D7" w14:textId="77777777" w:rsidR="00CE095F" w:rsidRDefault="00CE095F" w:rsidP="00CA0843">
      <w:r>
        <w:separator/>
      </w:r>
    </w:p>
  </w:endnote>
  <w:endnote w:type="continuationSeparator" w:id="0">
    <w:p w14:paraId="62E57698" w14:textId="77777777" w:rsidR="00CE095F" w:rsidRDefault="00CE095F" w:rsidP="00CA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Times New Roman"/>
    <w:panose1 w:val="020B0604020202020204"/>
    <w:charset w:val="00"/>
    <w:family w:val="auto"/>
    <w:pitch w:val="variable"/>
    <w:sig w:usb0="03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08CE8" w14:textId="77777777" w:rsidR="00CA0843" w:rsidRPr="003605A6" w:rsidRDefault="00CA0843" w:rsidP="00CA0843">
    <w:pPr>
      <w:spacing w:beforeLines="1" w:before="2" w:afterLines="1" w:after="2"/>
      <w:jc w:val="center"/>
      <w:rPr>
        <w:rFonts w:ascii="Times" w:hAnsi="Times" w:cs="Times New Roman"/>
        <w:sz w:val="20"/>
        <w:szCs w:val="20"/>
        <w:lang w:val="fr-CH"/>
      </w:rPr>
    </w:pPr>
    <w:r w:rsidRPr="003605A6">
      <w:rPr>
        <w:rFonts w:ascii="Arial" w:hAnsi="Arial"/>
        <w:b/>
        <w:color w:val="7F7F7F"/>
        <w:lang w:val="fr-CH"/>
      </w:rPr>
      <w:t>Montres CORUM Sàrl</w:t>
    </w:r>
  </w:p>
  <w:p w14:paraId="550A7087" w14:textId="77777777" w:rsidR="00CA0843" w:rsidRPr="003605A6" w:rsidRDefault="00CA0843" w:rsidP="00CA0843">
    <w:pPr>
      <w:spacing w:beforeLines="1" w:before="2" w:afterLines="1" w:after="2"/>
      <w:jc w:val="center"/>
      <w:rPr>
        <w:rFonts w:ascii="Arial" w:hAnsi="Arial" w:cs="Times New Roman"/>
        <w:color w:val="7F7F7F"/>
        <w:sz w:val="16"/>
        <w:szCs w:val="16"/>
        <w:lang w:val="fr-CH"/>
      </w:rPr>
    </w:pPr>
    <w:r w:rsidRPr="003605A6">
      <w:rPr>
        <w:rFonts w:ascii="Arial" w:hAnsi="Arial"/>
        <w:color w:val="7F7F7F"/>
        <w:sz w:val="16"/>
        <w:lang w:val="fr-CH"/>
      </w:rPr>
      <w:t xml:space="preserve">Rue du Petit-Château 1 - PO Box 374 - CH-2301 La Chaux-de-Fonds - Switzerland </w:t>
    </w:r>
  </w:p>
  <w:p w14:paraId="75D41550" w14:textId="2FF8CBC7" w:rsidR="00CA0843" w:rsidRPr="00FA40B1" w:rsidRDefault="00CA0843" w:rsidP="00FA40B1">
    <w:pPr>
      <w:spacing w:beforeLines="1" w:before="2" w:afterLines="1" w:after="2"/>
      <w:jc w:val="center"/>
      <w:rPr>
        <w:rFonts w:ascii="Times" w:hAnsi="Times" w:cs="Times New Roman"/>
        <w:sz w:val="20"/>
        <w:szCs w:val="20"/>
      </w:rPr>
    </w:pPr>
    <w:r>
      <w:rPr>
        <w:rFonts w:ascii="Arial" w:hAnsi="Arial"/>
        <w:color w:val="7F7F7F"/>
        <w:sz w:val="16"/>
      </w:rPr>
      <w:t>Tel. +41 (0) 32 967 06 70 - Fax +41 (0) 32 967 06 00 - pr@corum.ch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C3B70" w14:textId="77777777" w:rsidR="00CE095F" w:rsidRDefault="00CE095F" w:rsidP="00CA0843">
      <w:r>
        <w:separator/>
      </w:r>
    </w:p>
  </w:footnote>
  <w:footnote w:type="continuationSeparator" w:id="0">
    <w:p w14:paraId="5379A888" w14:textId="77777777" w:rsidR="00CE095F" w:rsidRDefault="00CE095F" w:rsidP="00CA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52329" w14:textId="39388BC1" w:rsidR="00CA0843" w:rsidRDefault="00CA0843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C8AE02" wp14:editId="5251E6CF">
          <wp:simplePos x="0" y="0"/>
          <wp:positionH relativeFrom="column">
            <wp:posOffset>2279650</wp:posOffset>
          </wp:positionH>
          <wp:positionV relativeFrom="paragraph">
            <wp:posOffset>-127000</wp:posOffset>
          </wp:positionV>
          <wp:extent cx="1476000" cy="896400"/>
          <wp:effectExtent l="0" t="0" r="0" b="5715"/>
          <wp:wrapThrough wrapText="bothSides">
            <wp:wrapPolygon edited="0">
              <wp:start x="10410" y="0"/>
              <wp:lineTo x="9480" y="306"/>
              <wp:lineTo x="9108" y="6736"/>
              <wp:lineTo x="9480" y="9185"/>
              <wp:lineTo x="10781" y="10103"/>
              <wp:lineTo x="0" y="11634"/>
              <wp:lineTo x="0" y="17758"/>
              <wp:lineTo x="10781" y="19901"/>
              <wp:lineTo x="0" y="19901"/>
              <wp:lineTo x="0" y="21432"/>
              <wp:lineTo x="21377" y="21432"/>
              <wp:lineTo x="21377" y="19901"/>
              <wp:lineTo x="10781" y="19901"/>
              <wp:lineTo x="21377" y="18064"/>
              <wp:lineTo x="21377" y="11634"/>
              <wp:lineTo x="10781" y="10103"/>
              <wp:lineTo x="11897" y="9797"/>
              <wp:lineTo x="12826" y="6429"/>
              <wp:lineTo x="12269" y="612"/>
              <wp:lineTo x="11525" y="0"/>
              <wp:lineTo x="1041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C8"/>
    <w:rsid w:val="0003408E"/>
    <w:rsid w:val="000529FC"/>
    <w:rsid w:val="00052A3E"/>
    <w:rsid w:val="00056644"/>
    <w:rsid w:val="00064DAF"/>
    <w:rsid w:val="000912C8"/>
    <w:rsid w:val="000C6DC8"/>
    <w:rsid w:val="00122EDE"/>
    <w:rsid w:val="00125F8D"/>
    <w:rsid w:val="001C2588"/>
    <w:rsid w:val="00203B75"/>
    <w:rsid w:val="002120F0"/>
    <w:rsid w:val="002312EF"/>
    <w:rsid w:val="00233F78"/>
    <w:rsid w:val="00244CE5"/>
    <w:rsid w:val="00311350"/>
    <w:rsid w:val="003315F3"/>
    <w:rsid w:val="003A0343"/>
    <w:rsid w:val="003B72D7"/>
    <w:rsid w:val="003C7AB4"/>
    <w:rsid w:val="003D2281"/>
    <w:rsid w:val="003F1B89"/>
    <w:rsid w:val="003F5E95"/>
    <w:rsid w:val="00420E06"/>
    <w:rsid w:val="00437058"/>
    <w:rsid w:val="00444BA3"/>
    <w:rsid w:val="00447DB7"/>
    <w:rsid w:val="00467BF1"/>
    <w:rsid w:val="00491304"/>
    <w:rsid w:val="004A6C77"/>
    <w:rsid w:val="004C2E82"/>
    <w:rsid w:val="004E051E"/>
    <w:rsid w:val="00505AA2"/>
    <w:rsid w:val="00514D11"/>
    <w:rsid w:val="00534A57"/>
    <w:rsid w:val="00544B17"/>
    <w:rsid w:val="005921A9"/>
    <w:rsid w:val="0059383A"/>
    <w:rsid w:val="005C21E5"/>
    <w:rsid w:val="005F59C3"/>
    <w:rsid w:val="0061084A"/>
    <w:rsid w:val="0061455B"/>
    <w:rsid w:val="006213E5"/>
    <w:rsid w:val="006649AD"/>
    <w:rsid w:val="0067638E"/>
    <w:rsid w:val="006E0759"/>
    <w:rsid w:val="006F3715"/>
    <w:rsid w:val="006F5482"/>
    <w:rsid w:val="00771C1A"/>
    <w:rsid w:val="00796490"/>
    <w:rsid w:val="007C039E"/>
    <w:rsid w:val="007D0F36"/>
    <w:rsid w:val="007E0900"/>
    <w:rsid w:val="007E2386"/>
    <w:rsid w:val="007F3DA5"/>
    <w:rsid w:val="00803CB7"/>
    <w:rsid w:val="0084096F"/>
    <w:rsid w:val="00886D12"/>
    <w:rsid w:val="00891A58"/>
    <w:rsid w:val="008939D2"/>
    <w:rsid w:val="008C1AF8"/>
    <w:rsid w:val="008E1B90"/>
    <w:rsid w:val="008F7B76"/>
    <w:rsid w:val="00937304"/>
    <w:rsid w:val="009A57E1"/>
    <w:rsid w:val="009B2913"/>
    <w:rsid w:val="00A11970"/>
    <w:rsid w:val="00A36A3C"/>
    <w:rsid w:val="00A549BB"/>
    <w:rsid w:val="00A7553E"/>
    <w:rsid w:val="00A90911"/>
    <w:rsid w:val="00A909BC"/>
    <w:rsid w:val="00AC0A7E"/>
    <w:rsid w:val="00AD7D19"/>
    <w:rsid w:val="00B67A02"/>
    <w:rsid w:val="00BC2F57"/>
    <w:rsid w:val="00C42A47"/>
    <w:rsid w:val="00C5047C"/>
    <w:rsid w:val="00C60C28"/>
    <w:rsid w:val="00C85639"/>
    <w:rsid w:val="00CA0843"/>
    <w:rsid w:val="00CB75B4"/>
    <w:rsid w:val="00CC5867"/>
    <w:rsid w:val="00CE095F"/>
    <w:rsid w:val="00D0724B"/>
    <w:rsid w:val="00D32B21"/>
    <w:rsid w:val="00D36722"/>
    <w:rsid w:val="00D61AFA"/>
    <w:rsid w:val="00DA3F91"/>
    <w:rsid w:val="00DA6A9C"/>
    <w:rsid w:val="00DC5608"/>
    <w:rsid w:val="00DE76C8"/>
    <w:rsid w:val="00DF34AB"/>
    <w:rsid w:val="00E0677F"/>
    <w:rsid w:val="00E216B3"/>
    <w:rsid w:val="00E42084"/>
    <w:rsid w:val="00E76CFF"/>
    <w:rsid w:val="00ED04C4"/>
    <w:rsid w:val="00EF2433"/>
    <w:rsid w:val="00EF3D65"/>
    <w:rsid w:val="00F1402C"/>
    <w:rsid w:val="00F17DB3"/>
    <w:rsid w:val="00F30DCE"/>
    <w:rsid w:val="00F6641E"/>
    <w:rsid w:val="00F94E16"/>
    <w:rsid w:val="00FA40B1"/>
    <w:rsid w:val="00FF4675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58719"/>
  <w15:chartTrackingRefBased/>
  <w15:docId w15:val="{F2FDF134-711E-9241-9F92-AF1F0DC90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PMingLiU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CA0843"/>
    <w:pPr>
      <w:keepNext/>
      <w:outlineLvl w:val="0"/>
    </w:pPr>
    <w:rPr>
      <w:rFonts w:ascii="AGaramond" w:eastAsia="Times" w:hAnsi="AGaramond" w:cs="Times New Roman"/>
      <w:b/>
      <w:sz w:val="32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16B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6F37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F371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F371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371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371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371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3715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CA0843"/>
    <w:rPr>
      <w:rFonts w:ascii="AGaramond" w:eastAsia="Times" w:hAnsi="AGaramond" w:cs="Times New Roman"/>
      <w:b/>
      <w:sz w:val="32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CA084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CH"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CA0843"/>
    <w:rPr>
      <w:rFonts w:ascii="Times New Roman" w:eastAsia="Times New Roman" w:hAnsi="Times New Roman" w:cs="Times New Roman"/>
      <w:lang w:val="fr-CH" w:eastAsia="fr-FR"/>
    </w:rPr>
  </w:style>
  <w:style w:type="paragraph" w:styleId="En-tte">
    <w:name w:val="header"/>
    <w:basedOn w:val="Normal"/>
    <w:link w:val="En-tteCar"/>
    <w:uiPriority w:val="99"/>
    <w:unhideWhenUsed/>
    <w:rsid w:val="00CA084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843"/>
  </w:style>
  <w:style w:type="paragraph" w:styleId="Pieddepage">
    <w:name w:val="footer"/>
    <w:basedOn w:val="Normal"/>
    <w:link w:val="PieddepageCar"/>
    <w:uiPriority w:val="99"/>
    <w:unhideWhenUsed/>
    <w:rsid w:val="00CA084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A0843"/>
  </w:style>
  <w:style w:type="character" w:customStyle="1" w:styleId="tlid-translation">
    <w:name w:val="tlid-translation"/>
    <w:basedOn w:val="Policepardfaut"/>
    <w:rsid w:val="00796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8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FCE1A-95F5-9E41-8B70-252B8825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</dc:creator>
  <cp:keywords/>
  <dc:description/>
  <cp:lastModifiedBy>c.biessy@dotscomms.com</cp:lastModifiedBy>
  <cp:revision>2</cp:revision>
  <cp:lastPrinted>2020-03-17T19:43:00Z</cp:lastPrinted>
  <dcterms:created xsi:type="dcterms:W3CDTF">2020-05-06T13:12:00Z</dcterms:created>
  <dcterms:modified xsi:type="dcterms:W3CDTF">2020-05-06T13:12:00Z</dcterms:modified>
</cp:coreProperties>
</file>