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FC7D23" w14:textId="77777777" w:rsidR="00035094" w:rsidRPr="000A6A1F" w:rsidRDefault="00035094" w:rsidP="002E71F7">
      <w:pPr>
        <w:widowControl w:val="0"/>
        <w:autoSpaceDE w:val="0"/>
        <w:autoSpaceDN w:val="0"/>
        <w:adjustRightInd w:val="0"/>
        <w:jc w:val="both"/>
        <w:rPr>
          <w:rFonts w:ascii="Century Gothic" w:hAnsi="Century Gothic"/>
          <w:b/>
          <w:bCs/>
        </w:rPr>
      </w:pPr>
    </w:p>
    <w:p w14:paraId="01599590" w14:textId="77777777" w:rsidR="0003369F" w:rsidRPr="000A6A1F" w:rsidRDefault="0003369F" w:rsidP="002E71F7">
      <w:pPr>
        <w:jc w:val="both"/>
        <w:rPr>
          <w:rFonts w:ascii="Century Gothic" w:hAnsi="Century Gothic"/>
        </w:rPr>
      </w:pPr>
    </w:p>
    <w:p w14:paraId="64CB73BA" w14:textId="7325690A" w:rsidR="00E3562D" w:rsidRPr="000A6A1F" w:rsidRDefault="009C3C1B" w:rsidP="00C9301E">
      <w:pPr>
        <w:widowControl w:val="0"/>
        <w:autoSpaceDE w:val="0"/>
        <w:autoSpaceDN w:val="0"/>
        <w:adjustRightInd w:val="0"/>
        <w:jc w:val="center"/>
        <w:rPr>
          <w:rFonts w:ascii="Century Gothic" w:hAnsi="Century Gothic"/>
          <w:b/>
          <w:bCs/>
          <w:sz w:val="30"/>
          <w:szCs w:val="30"/>
        </w:rPr>
      </w:pPr>
      <w:r w:rsidRPr="000A6A1F">
        <w:rPr>
          <w:rFonts w:ascii="Century Gothic" w:hAnsi="Century Gothic"/>
          <w:b/>
          <w:bCs/>
          <w:sz w:val="30"/>
          <w:szCs w:val="30"/>
        </w:rPr>
        <w:t>CORUM CÉLÈBRE LE 40</w:t>
      </w:r>
      <w:r w:rsidRPr="000A6A1F">
        <w:rPr>
          <w:rFonts w:ascii="Century Gothic" w:hAnsi="Century Gothic"/>
          <w:b/>
          <w:bCs/>
          <w:sz w:val="30"/>
          <w:szCs w:val="30"/>
          <w:vertAlign w:val="superscript"/>
        </w:rPr>
        <w:t>E</w:t>
      </w:r>
      <w:r w:rsidRPr="000A6A1F">
        <w:rPr>
          <w:rFonts w:ascii="Century Gothic" w:hAnsi="Century Gothic"/>
          <w:b/>
          <w:bCs/>
          <w:sz w:val="30"/>
          <w:szCs w:val="30"/>
        </w:rPr>
        <w:t xml:space="preserve"> ANNIVERSAIRE DE SA COLLECTION UNIQUE ET EMBLÉMATIQUE GOLDEN BRIDGE</w:t>
      </w:r>
    </w:p>
    <w:p w14:paraId="71BFA15C" w14:textId="09AD206C" w:rsidR="009C3C1B" w:rsidRPr="000A6A1F" w:rsidRDefault="009C3C1B" w:rsidP="000A0866">
      <w:pPr>
        <w:widowControl w:val="0"/>
        <w:autoSpaceDE w:val="0"/>
        <w:autoSpaceDN w:val="0"/>
        <w:adjustRightInd w:val="0"/>
        <w:jc w:val="center"/>
        <w:rPr>
          <w:rFonts w:ascii="Century Gothic" w:hAnsi="Century Gothic"/>
          <w:b/>
          <w:bCs/>
          <w:sz w:val="30"/>
          <w:szCs w:val="30"/>
        </w:rPr>
      </w:pPr>
      <w:r w:rsidRPr="000A6A1F">
        <w:rPr>
          <w:rFonts w:ascii="Century Gothic" w:hAnsi="Century Gothic"/>
          <w:b/>
          <w:bCs/>
          <w:sz w:val="30"/>
          <w:szCs w:val="30"/>
        </w:rPr>
        <w:t xml:space="preserve">AVEC LE BOÎTIER RECTANGULAIRE ORIGINAL </w:t>
      </w:r>
    </w:p>
    <w:p w14:paraId="51C1815C" w14:textId="77777777" w:rsidR="000A0866" w:rsidRPr="000A6A1F" w:rsidRDefault="000A0866" w:rsidP="000A0866">
      <w:pPr>
        <w:widowControl w:val="0"/>
        <w:autoSpaceDE w:val="0"/>
        <w:autoSpaceDN w:val="0"/>
        <w:adjustRightInd w:val="0"/>
        <w:jc w:val="center"/>
        <w:rPr>
          <w:rFonts w:ascii="Century Gothic" w:hAnsi="Century Gothic"/>
          <w:b/>
          <w:bCs/>
        </w:rPr>
      </w:pPr>
    </w:p>
    <w:p w14:paraId="3957F133" w14:textId="77777777" w:rsidR="000A0866" w:rsidRPr="000A6A1F" w:rsidRDefault="00035094" w:rsidP="000A0866">
      <w:pPr>
        <w:widowControl w:val="0"/>
        <w:autoSpaceDE w:val="0"/>
        <w:autoSpaceDN w:val="0"/>
        <w:adjustRightInd w:val="0"/>
        <w:spacing w:after="240"/>
        <w:jc w:val="both"/>
        <w:rPr>
          <w:rFonts w:ascii="Century Gothic" w:eastAsiaTheme="minorHAnsi" w:hAnsi="Century Gothic" w:cstheme="minorBidi"/>
          <w:b/>
          <w:bCs/>
        </w:rPr>
      </w:pPr>
      <w:r w:rsidRPr="000A6A1F">
        <w:rPr>
          <w:rFonts w:ascii="Century Gothic" w:hAnsi="Century Gothic"/>
          <w:b/>
          <w:bCs/>
        </w:rPr>
        <w:t>L'esthétique rectangulaire raffinée de la Golden Bridge incarne la forme originale du boîtier de cet emblématique mouvement baguette en ligne créé il y a 40 ans par le fondateur avant-gardiste de Corum, René Bannwart.</w:t>
      </w:r>
    </w:p>
    <w:p w14:paraId="13918B38" w14:textId="25B75582" w:rsidR="005D3A7E" w:rsidRPr="000A6A1F" w:rsidRDefault="00035094" w:rsidP="000A0866">
      <w:pPr>
        <w:widowControl w:val="0"/>
        <w:autoSpaceDE w:val="0"/>
        <w:autoSpaceDN w:val="0"/>
        <w:adjustRightInd w:val="0"/>
        <w:spacing w:after="240"/>
        <w:jc w:val="both"/>
        <w:rPr>
          <w:rFonts w:ascii="Century Gothic" w:eastAsiaTheme="minorHAnsi" w:hAnsi="Century Gothic" w:cstheme="minorBidi"/>
          <w:b/>
          <w:bCs/>
        </w:rPr>
      </w:pPr>
      <w:r w:rsidRPr="000A6A1F">
        <w:rPr>
          <w:rFonts w:ascii="Century Gothic" w:hAnsi="Century Gothic"/>
        </w:rPr>
        <w:t xml:space="preserve">« La Golden Bridge est devenue une icône de l'horlogerie car il s’agit de la première montre transparente dévoilant le travail de l'horloger et la beauté de la mécanique. » Elizabeth Doerr, journaliste spécialisée en horlogerie et rédactrice en chef de </w:t>
      </w:r>
      <w:hyperlink r:id="rId6" w:history="1">
        <w:r w:rsidRPr="000A6A1F">
          <w:rPr>
            <w:rFonts w:ascii="Century Gothic" w:hAnsi="Century Gothic"/>
          </w:rPr>
          <w:t>Quill</w:t>
        </w:r>
      </w:hyperlink>
      <w:r w:rsidRPr="000A6A1F">
        <w:rPr>
          <w:rFonts w:ascii="Century Gothic" w:hAnsi="Century Gothic"/>
        </w:rPr>
        <w:t xml:space="preserve"> and Pad. </w:t>
      </w:r>
    </w:p>
    <w:p w14:paraId="63C56086" w14:textId="1B0176A8" w:rsidR="000A0866" w:rsidRDefault="005D3A7E" w:rsidP="00070674">
      <w:pPr>
        <w:spacing w:after="120"/>
        <w:jc w:val="both"/>
        <w:rPr>
          <w:rFonts w:ascii="Century Gothic" w:hAnsi="Century Gothic"/>
        </w:rPr>
      </w:pPr>
      <w:r w:rsidRPr="000A6A1F">
        <w:rPr>
          <w:rFonts w:ascii="Century Gothic" w:hAnsi="Century Gothic"/>
        </w:rPr>
        <w:t>Aujourd'hui, Corum rend hommage au tout premier modèle de la collection en présentant deux nouvelles créations en édition limitée dans le cadre de son 40</w:t>
      </w:r>
      <w:r w:rsidRPr="000A6A1F">
        <w:rPr>
          <w:rFonts w:ascii="Century Gothic" w:hAnsi="Century Gothic"/>
          <w:vertAlign w:val="superscript"/>
        </w:rPr>
        <w:t>e</w:t>
      </w:r>
      <w:r w:rsidRPr="000A6A1F">
        <w:rPr>
          <w:rFonts w:ascii="Century Gothic" w:hAnsi="Century Gothic"/>
        </w:rPr>
        <w:t xml:space="preserve"> anniversaire.</w:t>
      </w:r>
    </w:p>
    <w:p w14:paraId="2231C986" w14:textId="77777777" w:rsidR="0079132B" w:rsidRPr="000A6A1F" w:rsidRDefault="0079132B" w:rsidP="00070674">
      <w:pPr>
        <w:spacing w:after="120"/>
        <w:jc w:val="both"/>
        <w:rPr>
          <w:rFonts w:ascii="Century Gothic" w:hAnsi="Century Gothic"/>
        </w:rPr>
      </w:pPr>
    </w:p>
    <w:p w14:paraId="54B9F5AA" w14:textId="000BE7B9" w:rsidR="006D2CC0" w:rsidRPr="000A6A1F" w:rsidRDefault="00D3348C" w:rsidP="00070674">
      <w:pPr>
        <w:spacing w:after="120"/>
        <w:jc w:val="both"/>
        <w:rPr>
          <w:rFonts w:ascii="Century Gothic" w:hAnsi="Century Gothic"/>
        </w:rPr>
      </w:pPr>
      <w:r w:rsidRPr="000A6A1F">
        <w:rPr>
          <w:rFonts w:ascii="Century Gothic" w:hAnsi="Century Gothic"/>
          <w:b/>
          <w:bCs/>
        </w:rPr>
        <w:t>Golden Bridge Rectangle 40</w:t>
      </w:r>
      <w:r w:rsidRPr="000A6A1F">
        <w:rPr>
          <w:rFonts w:ascii="Century Gothic" w:hAnsi="Century Gothic"/>
          <w:b/>
          <w:bCs/>
          <w:vertAlign w:val="superscript"/>
        </w:rPr>
        <w:t>e</w:t>
      </w:r>
      <w:r w:rsidRPr="000A6A1F">
        <w:rPr>
          <w:rFonts w:ascii="Century Gothic" w:hAnsi="Century Gothic"/>
          <w:b/>
          <w:bCs/>
        </w:rPr>
        <w:t xml:space="preserve"> Anniversaire en or blanc 18 ct.</w:t>
      </w:r>
    </w:p>
    <w:p w14:paraId="54F7B95F" w14:textId="6B0CDFE3" w:rsidR="0088571A" w:rsidRDefault="00702458" w:rsidP="00070674">
      <w:pPr>
        <w:spacing w:after="120"/>
        <w:jc w:val="both"/>
        <w:rPr>
          <w:rFonts w:ascii="Century Gothic" w:hAnsi="Century Gothic"/>
        </w:rPr>
      </w:pPr>
      <w:r w:rsidRPr="000A6A1F">
        <w:rPr>
          <w:rFonts w:ascii="Century Gothic" w:hAnsi="Century Gothic"/>
        </w:rPr>
        <w:t>Pour la première itération de la Golden Bridge Rectangle, Corum a ajouté une étonnante gravure florale minutieusement réalisée à la main sur le boîtier en or blanc 18 carats, créant ainsi une nouvelle édition classique de la montre signature de Haute Horlogerie. L'acanthe et la fougère sont un clin d'œil au « Style Sapin » créé à La Chaux-de-Fonds. Ces détails floraux sont gravés sur tous les mouvements baguette Golden Bridge depuis le lancement du garde-temps en 1980. Limité à trois exemplaires, ce chef-d'œuvre honore les trois cofondateurs de la Marque née en 1955.</w:t>
      </w:r>
    </w:p>
    <w:p w14:paraId="67F5E8DF" w14:textId="77777777" w:rsidR="0079132B" w:rsidRPr="000A6A1F" w:rsidRDefault="0079132B" w:rsidP="00070674">
      <w:pPr>
        <w:spacing w:after="120"/>
        <w:jc w:val="both"/>
        <w:rPr>
          <w:rFonts w:ascii="Century Gothic" w:hAnsi="Century Gothic"/>
        </w:rPr>
      </w:pPr>
    </w:p>
    <w:p w14:paraId="6BF45947" w14:textId="47643411" w:rsidR="0088571A" w:rsidRPr="000A6A1F" w:rsidRDefault="0088571A" w:rsidP="00070674">
      <w:pPr>
        <w:spacing w:after="120"/>
        <w:jc w:val="both"/>
        <w:rPr>
          <w:rFonts w:ascii="Century Gothic" w:hAnsi="Century Gothic"/>
          <w:b/>
          <w:bCs/>
        </w:rPr>
      </w:pPr>
      <w:r w:rsidRPr="000A6A1F">
        <w:rPr>
          <w:rFonts w:ascii="Century Gothic" w:hAnsi="Century Gothic"/>
          <w:b/>
          <w:bCs/>
        </w:rPr>
        <w:t>Golden Bridge Rectangle 40</w:t>
      </w:r>
      <w:r w:rsidRPr="000A6A1F">
        <w:rPr>
          <w:rFonts w:ascii="Century Gothic" w:hAnsi="Century Gothic"/>
          <w:b/>
          <w:bCs/>
          <w:vertAlign w:val="superscript"/>
        </w:rPr>
        <w:t>e</w:t>
      </w:r>
      <w:r w:rsidRPr="000A6A1F">
        <w:rPr>
          <w:rFonts w:ascii="Century Gothic" w:hAnsi="Century Gothic"/>
          <w:b/>
          <w:bCs/>
        </w:rPr>
        <w:t xml:space="preserve"> Anniversaire en or rose 18 ct.</w:t>
      </w:r>
    </w:p>
    <w:p w14:paraId="1AD114B2" w14:textId="249E3F21" w:rsidR="005D3A7E" w:rsidRPr="000A6A1F" w:rsidRDefault="003941A6" w:rsidP="000A0866">
      <w:pPr>
        <w:spacing w:after="120"/>
        <w:jc w:val="both"/>
        <w:rPr>
          <w:rFonts w:ascii="Century Gothic" w:hAnsi="Century Gothic"/>
        </w:rPr>
      </w:pPr>
      <w:r w:rsidRPr="000A6A1F">
        <w:rPr>
          <w:rFonts w:ascii="Century Gothic" w:hAnsi="Century Gothic"/>
        </w:rPr>
        <w:t>Le 40</w:t>
      </w:r>
      <w:r w:rsidRPr="000A6A1F">
        <w:rPr>
          <w:rFonts w:ascii="Century Gothic" w:hAnsi="Century Gothic"/>
          <w:vertAlign w:val="superscript"/>
        </w:rPr>
        <w:t>e</w:t>
      </w:r>
      <w:r w:rsidRPr="000A6A1F">
        <w:rPr>
          <w:rFonts w:ascii="Century Gothic" w:hAnsi="Century Gothic"/>
        </w:rPr>
        <w:t xml:space="preserve"> anniversaire de la Golden Bridge coïncide avec le 65</w:t>
      </w:r>
      <w:r w:rsidRPr="000A6A1F">
        <w:rPr>
          <w:rFonts w:ascii="Century Gothic" w:hAnsi="Century Gothic"/>
          <w:vertAlign w:val="superscript"/>
        </w:rPr>
        <w:t>e</w:t>
      </w:r>
      <w:r w:rsidRPr="000A6A1F">
        <w:rPr>
          <w:rFonts w:ascii="Century Gothic" w:hAnsi="Century Gothic"/>
        </w:rPr>
        <w:t xml:space="preserve"> anniversaire de Corum. Le modèle en or rose 18 carats met à l’honneur les 40 ans de la collection Golden Bridge avec une gravure originale « Limited Edition 1 0f 40 » à l'intérieur du boîtier de la montre à </w:t>
      </w:r>
      <w:r w:rsidR="006B2B19">
        <w:rPr>
          <w:rFonts w:ascii="Century Gothic" w:hAnsi="Century Gothic"/>
        </w:rPr>
        <w:t>3</w:t>
      </w:r>
      <w:r w:rsidRPr="000A6A1F">
        <w:rPr>
          <w:rFonts w:ascii="Century Gothic" w:hAnsi="Century Gothic"/>
        </w:rPr>
        <w:t> heures, ainsi que les 65 ans de la création de la marque avec le symbole iconique de Corum, la clé, sur le fond en verre saphir. Fidèle aux racines de la collection, ce garde-temps de Haute Horlogerie arbore un mouvement baguette Golden Bridge en or 18 carats.</w:t>
      </w:r>
    </w:p>
    <w:p w14:paraId="2C1917B0" w14:textId="77777777" w:rsidR="00097752" w:rsidRDefault="00097752">
      <w:pPr>
        <w:rPr>
          <w:rFonts w:ascii="Century Gothic" w:hAnsi="Century Gothic"/>
        </w:rPr>
      </w:pPr>
      <w:r>
        <w:rPr>
          <w:rFonts w:ascii="Century Gothic" w:hAnsi="Century Gothic"/>
        </w:rPr>
        <w:br w:type="page"/>
      </w:r>
    </w:p>
    <w:p w14:paraId="1735A2FF" w14:textId="77777777" w:rsidR="00097752" w:rsidRDefault="00097752" w:rsidP="00070674">
      <w:pPr>
        <w:jc w:val="both"/>
        <w:rPr>
          <w:rFonts w:ascii="Century Gothic" w:hAnsi="Century Gothic"/>
        </w:rPr>
      </w:pPr>
    </w:p>
    <w:p w14:paraId="281D185B" w14:textId="59AE851E" w:rsidR="001F463F" w:rsidRPr="000A6A1F" w:rsidRDefault="003941A6" w:rsidP="00070674">
      <w:pPr>
        <w:jc w:val="both"/>
        <w:rPr>
          <w:rFonts w:ascii="Century Gothic" w:hAnsi="Century Gothic"/>
        </w:rPr>
      </w:pPr>
      <w:r w:rsidRPr="000A6A1F">
        <w:rPr>
          <w:rFonts w:ascii="Century Gothic" w:hAnsi="Century Gothic"/>
        </w:rPr>
        <w:t xml:space="preserve">« Nous nous sommes inspirés de la période Art Déco, qui a servi de base à certaines des premières pièces conçues par M. Bannwart », explique Boon Chong Soon (directeur marketing et ventes de Corum). En incluant notre emblématique clé Corum sur le fond en verre saphir de la version en or rose, et la gravure réalisée main sur l'ensemble du boîtier du modèle en or blanc, ce ne sont pas seulement les anniversaires de Corum et de la Golden Bridge que nous célébrons, mais aussi l'histoire de l'horlogerie artisanale à La Chaux-de-Fonds. </w:t>
      </w:r>
    </w:p>
    <w:p w14:paraId="08887504" w14:textId="77777777" w:rsidR="000A0866" w:rsidRPr="000A6A1F" w:rsidRDefault="000A0866" w:rsidP="00303E14">
      <w:pPr>
        <w:rPr>
          <w:rFonts w:ascii="Century Gothic" w:hAnsi="Century Gothic"/>
        </w:rPr>
      </w:pPr>
    </w:p>
    <w:p w14:paraId="04337FD6" w14:textId="12C3D604" w:rsidR="0003369F" w:rsidRPr="000A6A1F" w:rsidRDefault="000D767C" w:rsidP="00303E14">
      <w:pPr>
        <w:rPr>
          <w:rFonts w:ascii="Century Gothic" w:hAnsi="Century Gothic"/>
        </w:rPr>
      </w:pPr>
      <w:r w:rsidRPr="000A6A1F">
        <w:rPr>
          <w:rFonts w:ascii="Century Gothic" w:hAnsi="Century Gothic"/>
        </w:rPr>
        <w:t xml:space="preserve">Présentant des proportions parfaites, la Golden Bridge épouse parfaitement le poignet </w:t>
      </w:r>
      <w:r w:rsidR="00B11441">
        <w:rPr>
          <w:rFonts w:ascii="Century Gothic" w:hAnsi="Century Gothic"/>
        </w:rPr>
        <w:t>e</w:t>
      </w:r>
      <w:r w:rsidRPr="000A6A1F">
        <w:rPr>
          <w:rFonts w:ascii="Century Gothic" w:hAnsi="Century Gothic"/>
        </w:rPr>
        <w:t>t, contrairement au modèle de 1980, cette édition raffinée est étanche jusqu’à 30 mètres grâce à sa technologie moderne. Empreinte d’une élégance intemporelle et discrète, la Golden Bridge Rectangle met néanmoins en valeur les fonctions de son exceptionnel mouvement, invitant l’œil à suivre le parcours du transfert énergétique du calibre CO113 depuis le ressort de barillet à 6 heures jusqu’à l’échappement à 12 heures.</w:t>
      </w:r>
    </w:p>
    <w:p w14:paraId="12C07F97" w14:textId="7DEB7A53" w:rsidR="0001443A" w:rsidRPr="000A6A1F" w:rsidRDefault="0001443A" w:rsidP="00070674">
      <w:pPr>
        <w:spacing w:after="120"/>
        <w:jc w:val="both"/>
        <w:rPr>
          <w:rFonts w:ascii="Century Gothic" w:hAnsi="Century Gothic"/>
        </w:rPr>
      </w:pPr>
    </w:p>
    <w:p w14:paraId="4DE30F8D" w14:textId="6FD40773" w:rsidR="000A0866" w:rsidRPr="000A6A1F" w:rsidRDefault="00561CEF" w:rsidP="00561CEF">
      <w:pPr>
        <w:spacing w:after="120"/>
        <w:jc w:val="both"/>
        <w:rPr>
          <w:rFonts w:ascii="Century Gothic" w:hAnsi="Century Gothic"/>
          <w:b/>
          <w:bCs/>
          <w:lang w:val="fr-CH"/>
        </w:rPr>
      </w:pPr>
      <w:r w:rsidRPr="000A6A1F">
        <w:rPr>
          <w:rFonts w:ascii="Century Gothic" w:hAnsi="Century Gothic"/>
          <w:b/>
          <w:bCs/>
        </w:rPr>
        <w:t xml:space="preserve">À propos de Corum </w:t>
      </w:r>
    </w:p>
    <w:p w14:paraId="05E365B3" w14:textId="36300FDE" w:rsidR="00561CEF" w:rsidRPr="000A6A1F" w:rsidRDefault="00561CEF" w:rsidP="00561CEF">
      <w:pPr>
        <w:spacing w:after="120"/>
        <w:jc w:val="both"/>
        <w:rPr>
          <w:rFonts w:ascii="Century Gothic" w:hAnsi="Century Gothic"/>
        </w:rPr>
      </w:pPr>
      <w:r w:rsidRPr="000A6A1F">
        <w:rPr>
          <w:rFonts w:ascii="Century Gothic" w:hAnsi="Century Gothic"/>
        </w:rPr>
        <w:t xml:space="preserve">Fondée en 1955, Corum incarne l’horlogerie </w:t>
      </w:r>
      <w:r w:rsidR="0004161C" w:rsidRPr="000A6A1F">
        <w:rPr>
          <w:rFonts w:ascii="Century Gothic" w:hAnsi="Century Gothic"/>
        </w:rPr>
        <w:t>créative</w:t>
      </w:r>
      <w:r w:rsidRPr="000A6A1F">
        <w:rPr>
          <w:rFonts w:ascii="Century Gothic" w:hAnsi="Century Gothic"/>
        </w:rPr>
        <w:t xml:space="preserve"> et audacieuse. Loin des dogmes, la Maison repense librement la construction du mouvement, le </w:t>
      </w:r>
      <w:r w:rsidR="0004161C" w:rsidRPr="000A6A1F">
        <w:rPr>
          <w:rFonts w:ascii="Century Gothic" w:hAnsi="Century Gothic"/>
        </w:rPr>
        <w:t>boî</w:t>
      </w:r>
      <w:r w:rsidR="0004161C" w:rsidRPr="000A6A1F">
        <w:rPr>
          <w:rFonts w:ascii="Century Gothic" w:hAnsi="Century Gothic" w:cs="Arial"/>
        </w:rPr>
        <w:t>t</w:t>
      </w:r>
      <w:r w:rsidR="0004161C" w:rsidRPr="000A6A1F">
        <w:rPr>
          <w:rFonts w:ascii="Century Gothic" w:hAnsi="Century Gothic"/>
        </w:rPr>
        <w:t>ier</w:t>
      </w:r>
      <w:r w:rsidRPr="000A6A1F">
        <w:rPr>
          <w:rFonts w:ascii="Century Gothic" w:hAnsi="Century Gothic"/>
        </w:rPr>
        <w:t xml:space="preserve"> et les savoir-faire artistiques qui permettent d</w:t>
      </w:r>
      <w:r w:rsidRPr="000A6A1F">
        <w:rPr>
          <w:rFonts w:ascii="Century Gothic" w:hAnsi="Century Gothic" w:cs="Century Gothic"/>
        </w:rPr>
        <w:t>’</w:t>
      </w:r>
      <w:r w:rsidRPr="000A6A1F">
        <w:rPr>
          <w:rFonts w:ascii="Century Gothic" w:hAnsi="Century Gothic"/>
        </w:rPr>
        <w:t xml:space="preserve">embellir le cadran. Par-delà ses nombreuses prouesses techniques (comme le mouvement baguette) et esthétiques (montres Coin, Feather ou Bubble), Corum prend le relais d’une tradition d’horlogerie haut de gamme en avance sur son temps. </w:t>
      </w:r>
    </w:p>
    <w:p w14:paraId="4DC0C461" w14:textId="7FC13028" w:rsidR="0001443A" w:rsidRPr="000A6A1F" w:rsidRDefault="00561CEF" w:rsidP="00561CEF">
      <w:pPr>
        <w:spacing w:after="120"/>
        <w:jc w:val="both"/>
        <w:rPr>
          <w:rFonts w:ascii="Century Gothic" w:hAnsi="Century Gothic"/>
        </w:rPr>
      </w:pPr>
      <w:r w:rsidRPr="000A6A1F">
        <w:rPr>
          <w:rFonts w:ascii="Century Gothic" w:hAnsi="Century Gothic"/>
        </w:rPr>
        <w:t>Née à La Chaux-de-Fonds, la marque s’ouvre à la fois aux univers du street art contemporain et de l’art classique, attirant du même coup l’attention d’un large éventail d’avant-gardistes. À la fois révolutionnaire et respectueuse de son héritage horloger, Corum entretient un statut de marque de niche qui s’adresse aux collectionneurs exigeants de montres atypiques. Elle décline cinq collections qui reflètent chacune sa vision de l’horlogerie du XXIe siècle : Admiral, Golden Bridge, Lab, Héritage et Bubble.</w:t>
      </w:r>
    </w:p>
    <w:p w14:paraId="34385362" w14:textId="77777777" w:rsidR="00070674" w:rsidRPr="000A6A1F" w:rsidRDefault="00070674" w:rsidP="00070674">
      <w:pPr>
        <w:spacing w:after="120"/>
        <w:jc w:val="both"/>
        <w:rPr>
          <w:rFonts w:ascii="Century Gothic" w:hAnsi="Century Gothic"/>
          <w:lang w:val="fr-CH"/>
        </w:rPr>
      </w:pPr>
    </w:p>
    <w:sectPr w:rsidR="00070674" w:rsidRPr="000A6A1F" w:rsidSect="009C3C1B">
      <w:headerReference w:type="default" r:id="rId7"/>
      <w:footerReference w:type="default" r:id="rId8"/>
      <w:pgSz w:w="11900" w:h="16840"/>
      <w:pgMar w:top="1440" w:right="1800" w:bottom="1440" w:left="1800" w:header="4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75337F" w14:textId="77777777" w:rsidR="00E5617D" w:rsidRDefault="00E5617D" w:rsidP="00F95365">
      <w:r>
        <w:separator/>
      </w:r>
    </w:p>
  </w:endnote>
  <w:endnote w:type="continuationSeparator" w:id="0">
    <w:p w14:paraId="4CA21BEE" w14:textId="77777777" w:rsidR="00E5617D" w:rsidRDefault="00E5617D" w:rsidP="00F95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Garamond">
    <w:altName w:val="Times New Roman"/>
    <w:charset w:val="00"/>
    <w:family w:val="auto"/>
    <w:pitch w:val="variable"/>
    <w:sig w:usb0="03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55D03" w14:textId="77777777" w:rsidR="0003369F" w:rsidRDefault="0003369F" w:rsidP="00F95365">
    <w:pPr>
      <w:pStyle w:val="Titre1"/>
      <w:jc w:val="center"/>
      <w:rPr>
        <w:rFonts w:ascii="Arial" w:hAnsi="Arial"/>
        <w:color w:val="808080"/>
        <w:spacing w:val="20"/>
        <w:sz w:val="22"/>
      </w:rPr>
    </w:pPr>
    <w:r>
      <w:rPr>
        <w:rFonts w:ascii="Arial" w:hAnsi="Arial"/>
        <w:color w:val="808080"/>
        <w:sz w:val="22"/>
      </w:rPr>
      <w:t>Montres CORUM Sàrl</w:t>
    </w:r>
  </w:p>
  <w:p w14:paraId="6CEDEA8B" w14:textId="77777777" w:rsidR="0003369F" w:rsidRPr="00F95365" w:rsidRDefault="0003369F" w:rsidP="00F95365">
    <w:pPr>
      <w:jc w:val="center"/>
      <w:rPr>
        <w:rFonts w:ascii="Arial" w:hAnsi="Arial"/>
        <w:color w:val="808080"/>
        <w:spacing w:val="20"/>
        <w:sz w:val="16"/>
      </w:rPr>
    </w:pPr>
    <w:r>
      <w:rPr>
        <w:rFonts w:ascii="Arial" w:hAnsi="Arial"/>
        <w:color w:val="808080"/>
        <w:sz w:val="16"/>
      </w:rPr>
      <w:t>Rue du Petit-Château 1 - Case postale 374 - CH-2301 La Chaux-de-Fonds - Suisse</w:t>
    </w:r>
  </w:p>
  <w:p w14:paraId="7E4BC802" w14:textId="77777777" w:rsidR="0003369F" w:rsidRPr="00D733E0" w:rsidRDefault="0003369F" w:rsidP="00F95365">
    <w:pPr>
      <w:jc w:val="center"/>
      <w:rPr>
        <w:rFonts w:ascii="Arial" w:hAnsi="Arial"/>
        <w:color w:val="808080"/>
        <w:spacing w:val="20"/>
        <w:sz w:val="16"/>
      </w:rPr>
    </w:pPr>
    <w:r>
      <w:rPr>
        <w:rFonts w:ascii="Arial" w:hAnsi="Arial"/>
        <w:color w:val="808080"/>
        <w:sz w:val="16"/>
      </w:rPr>
      <w:t>Tél. +41 (0) 32 967 06 70 - Fax +41 (0) 32 967 06 00 – pr@corum.ch</w:t>
    </w:r>
  </w:p>
  <w:p w14:paraId="3C44FC1F" w14:textId="77777777" w:rsidR="0003369F" w:rsidRDefault="000336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64FD4" w14:textId="77777777" w:rsidR="00E5617D" w:rsidRDefault="00E5617D" w:rsidP="00F95365">
      <w:r>
        <w:separator/>
      </w:r>
    </w:p>
  </w:footnote>
  <w:footnote w:type="continuationSeparator" w:id="0">
    <w:p w14:paraId="7276F64E" w14:textId="77777777" w:rsidR="00E5617D" w:rsidRDefault="00E5617D" w:rsidP="00F95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E58B7" w14:textId="77777777" w:rsidR="0003369F" w:rsidRPr="009C3C1B" w:rsidRDefault="009C3C1B" w:rsidP="009C3C1B">
    <w:pPr>
      <w:pStyle w:val="En-tte"/>
      <w:jc w:val="center"/>
    </w:pPr>
    <w:r>
      <w:rPr>
        <w:noProof/>
      </w:rPr>
      <w:drawing>
        <wp:inline distT="0" distB="0" distL="0" distR="0" wp14:anchorId="49DF691B" wp14:editId="1AD01F41">
          <wp:extent cx="1477107" cy="897139"/>
          <wp:effectExtent l="0" t="0" r="0" b="508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RUM_LOGO_AVANTGARDE_LOCKUP_BLACK.pdf"/>
                  <pic:cNvPicPr/>
                </pic:nvPicPr>
                <pic:blipFill>
                  <a:blip r:embed="rId1">
                    <a:extLst>
                      <a:ext uri="{28A0092B-C50C-407E-A947-70E740481C1C}">
                        <a14:useLocalDpi xmlns:a14="http://schemas.microsoft.com/office/drawing/2010/main" val="0"/>
                      </a:ext>
                    </a:extLst>
                  </a:blip>
                  <a:stretch>
                    <a:fillRect/>
                  </a:stretch>
                </pic:blipFill>
                <pic:spPr>
                  <a:xfrm>
                    <a:off x="0" y="0"/>
                    <a:ext cx="1503548" cy="913198"/>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B72"/>
    <w:rsid w:val="00000830"/>
    <w:rsid w:val="00004501"/>
    <w:rsid w:val="0001443A"/>
    <w:rsid w:val="00016E9B"/>
    <w:rsid w:val="0002333A"/>
    <w:rsid w:val="0003369F"/>
    <w:rsid w:val="00035094"/>
    <w:rsid w:val="0004161C"/>
    <w:rsid w:val="00061408"/>
    <w:rsid w:val="000658A0"/>
    <w:rsid w:val="00070674"/>
    <w:rsid w:val="00097752"/>
    <w:rsid w:val="00097E65"/>
    <w:rsid w:val="000A0866"/>
    <w:rsid w:val="000A6A1F"/>
    <w:rsid w:val="000C5303"/>
    <w:rsid w:val="000D767C"/>
    <w:rsid w:val="000E7F5A"/>
    <w:rsid w:val="000F1A27"/>
    <w:rsid w:val="00116837"/>
    <w:rsid w:val="001211EF"/>
    <w:rsid w:val="00132B6C"/>
    <w:rsid w:val="001364DB"/>
    <w:rsid w:val="00140C1B"/>
    <w:rsid w:val="001460DD"/>
    <w:rsid w:val="00162367"/>
    <w:rsid w:val="0016657B"/>
    <w:rsid w:val="00174C4A"/>
    <w:rsid w:val="001805EF"/>
    <w:rsid w:val="00182517"/>
    <w:rsid w:val="00184D9C"/>
    <w:rsid w:val="001957DD"/>
    <w:rsid w:val="00196D2B"/>
    <w:rsid w:val="001D020C"/>
    <w:rsid w:val="001E6767"/>
    <w:rsid w:val="001F463F"/>
    <w:rsid w:val="0020438D"/>
    <w:rsid w:val="00246319"/>
    <w:rsid w:val="00265F27"/>
    <w:rsid w:val="002A07CA"/>
    <w:rsid w:val="002C560B"/>
    <w:rsid w:val="002C6D9E"/>
    <w:rsid w:val="002D499F"/>
    <w:rsid w:val="002E3581"/>
    <w:rsid w:val="002E3C14"/>
    <w:rsid w:val="002E71F7"/>
    <w:rsid w:val="00303E14"/>
    <w:rsid w:val="00320DB7"/>
    <w:rsid w:val="0033415A"/>
    <w:rsid w:val="003466E5"/>
    <w:rsid w:val="0036393A"/>
    <w:rsid w:val="003941A6"/>
    <w:rsid w:val="0039793C"/>
    <w:rsid w:val="003A1F78"/>
    <w:rsid w:val="003B4316"/>
    <w:rsid w:val="003D0E8F"/>
    <w:rsid w:val="004137D4"/>
    <w:rsid w:val="004555F8"/>
    <w:rsid w:val="00462628"/>
    <w:rsid w:val="00487C36"/>
    <w:rsid w:val="004C45F2"/>
    <w:rsid w:val="004F5B10"/>
    <w:rsid w:val="0052602E"/>
    <w:rsid w:val="00553413"/>
    <w:rsid w:val="00555B89"/>
    <w:rsid w:val="00561CEF"/>
    <w:rsid w:val="00567EC6"/>
    <w:rsid w:val="00575742"/>
    <w:rsid w:val="00582B82"/>
    <w:rsid w:val="005A628B"/>
    <w:rsid w:val="005A6E27"/>
    <w:rsid w:val="005B2831"/>
    <w:rsid w:val="005D3A7E"/>
    <w:rsid w:val="00606221"/>
    <w:rsid w:val="006273CD"/>
    <w:rsid w:val="00634EBF"/>
    <w:rsid w:val="006402D2"/>
    <w:rsid w:val="00642BEC"/>
    <w:rsid w:val="006B2B19"/>
    <w:rsid w:val="006B6A28"/>
    <w:rsid w:val="006D2CC0"/>
    <w:rsid w:val="006D4359"/>
    <w:rsid w:val="00702458"/>
    <w:rsid w:val="00740CB2"/>
    <w:rsid w:val="007448C0"/>
    <w:rsid w:val="00762D7A"/>
    <w:rsid w:val="0079132B"/>
    <w:rsid w:val="007B454D"/>
    <w:rsid w:val="007C6D91"/>
    <w:rsid w:val="007C6ED8"/>
    <w:rsid w:val="007C7360"/>
    <w:rsid w:val="007C7DCB"/>
    <w:rsid w:val="007E71C1"/>
    <w:rsid w:val="007F1DA4"/>
    <w:rsid w:val="008359F4"/>
    <w:rsid w:val="00843AC0"/>
    <w:rsid w:val="0085395D"/>
    <w:rsid w:val="0088571A"/>
    <w:rsid w:val="00887A70"/>
    <w:rsid w:val="008A559F"/>
    <w:rsid w:val="008C1862"/>
    <w:rsid w:val="008C41DE"/>
    <w:rsid w:val="009005DF"/>
    <w:rsid w:val="009050C4"/>
    <w:rsid w:val="00911658"/>
    <w:rsid w:val="00950054"/>
    <w:rsid w:val="00965177"/>
    <w:rsid w:val="009675C8"/>
    <w:rsid w:val="009768B3"/>
    <w:rsid w:val="009807A8"/>
    <w:rsid w:val="009A451C"/>
    <w:rsid w:val="009A6061"/>
    <w:rsid w:val="009A650E"/>
    <w:rsid w:val="009C3C1B"/>
    <w:rsid w:val="009E0504"/>
    <w:rsid w:val="00A1388F"/>
    <w:rsid w:val="00A22226"/>
    <w:rsid w:val="00A23F10"/>
    <w:rsid w:val="00A26033"/>
    <w:rsid w:val="00A3151E"/>
    <w:rsid w:val="00A56151"/>
    <w:rsid w:val="00AC28F5"/>
    <w:rsid w:val="00AD7550"/>
    <w:rsid w:val="00B045F9"/>
    <w:rsid w:val="00B11441"/>
    <w:rsid w:val="00B2254D"/>
    <w:rsid w:val="00B22FB0"/>
    <w:rsid w:val="00B757EC"/>
    <w:rsid w:val="00B76BA3"/>
    <w:rsid w:val="00B777B1"/>
    <w:rsid w:val="00BB1A27"/>
    <w:rsid w:val="00BC6D1F"/>
    <w:rsid w:val="00C34BA3"/>
    <w:rsid w:val="00C456D5"/>
    <w:rsid w:val="00C64E51"/>
    <w:rsid w:val="00C7186B"/>
    <w:rsid w:val="00C87DC3"/>
    <w:rsid w:val="00C9301E"/>
    <w:rsid w:val="00C93043"/>
    <w:rsid w:val="00CB0D66"/>
    <w:rsid w:val="00CE6D63"/>
    <w:rsid w:val="00D243E6"/>
    <w:rsid w:val="00D26F2F"/>
    <w:rsid w:val="00D3157E"/>
    <w:rsid w:val="00D32534"/>
    <w:rsid w:val="00D3348C"/>
    <w:rsid w:val="00D506C3"/>
    <w:rsid w:val="00D67777"/>
    <w:rsid w:val="00D733E0"/>
    <w:rsid w:val="00D91B1E"/>
    <w:rsid w:val="00D971B3"/>
    <w:rsid w:val="00DC020C"/>
    <w:rsid w:val="00DC790A"/>
    <w:rsid w:val="00DD1B72"/>
    <w:rsid w:val="00DD27DE"/>
    <w:rsid w:val="00DE17C4"/>
    <w:rsid w:val="00DE3411"/>
    <w:rsid w:val="00DF01A7"/>
    <w:rsid w:val="00E2280B"/>
    <w:rsid w:val="00E2619C"/>
    <w:rsid w:val="00E3562D"/>
    <w:rsid w:val="00E4491D"/>
    <w:rsid w:val="00E5147E"/>
    <w:rsid w:val="00E5617D"/>
    <w:rsid w:val="00E64038"/>
    <w:rsid w:val="00E66496"/>
    <w:rsid w:val="00E81A91"/>
    <w:rsid w:val="00E9514D"/>
    <w:rsid w:val="00EB0498"/>
    <w:rsid w:val="00EB2249"/>
    <w:rsid w:val="00ED7879"/>
    <w:rsid w:val="00F02412"/>
    <w:rsid w:val="00F31369"/>
    <w:rsid w:val="00F56E37"/>
    <w:rsid w:val="00F669A3"/>
    <w:rsid w:val="00F77279"/>
    <w:rsid w:val="00F95365"/>
    <w:rsid w:val="00FB21CB"/>
    <w:rsid w:val="00FB6B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516003F"/>
  <w15:docId w15:val="{4720D594-3A2B-4D59-B1C8-3A8393FB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fr-FR"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5F2"/>
    <w:rPr>
      <w:sz w:val="24"/>
      <w:szCs w:val="24"/>
      <w:lang w:eastAsia="en-US"/>
    </w:rPr>
  </w:style>
  <w:style w:type="paragraph" w:styleId="Titre1">
    <w:name w:val="heading 1"/>
    <w:basedOn w:val="Normal"/>
    <w:next w:val="Normal"/>
    <w:link w:val="Titre1Car"/>
    <w:uiPriority w:val="99"/>
    <w:qFormat/>
    <w:rsid w:val="00F95365"/>
    <w:pPr>
      <w:keepNext/>
      <w:outlineLvl w:val="0"/>
    </w:pPr>
    <w:rPr>
      <w:rFonts w:ascii="AGaramond" w:hAnsi="AGaramond"/>
      <w:b/>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F95365"/>
    <w:rPr>
      <w:rFonts w:ascii="AGaramond" w:hAnsi="AGaramond" w:cs="Times New Roman"/>
      <w:b/>
      <w:sz w:val="20"/>
      <w:szCs w:val="20"/>
      <w:lang w:eastAsia="fr-FR"/>
    </w:rPr>
  </w:style>
  <w:style w:type="paragraph" w:styleId="En-tte">
    <w:name w:val="header"/>
    <w:basedOn w:val="Normal"/>
    <w:link w:val="En-tteCar"/>
    <w:uiPriority w:val="99"/>
    <w:rsid w:val="00F95365"/>
    <w:pPr>
      <w:tabs>
        <w:tab w:val="center" w:pos="4536"/>
        <w:tab w:val="right" w:pos="9072"/>
      </w:tabs>
    </w:pPr>
  </w:style>
  <w:style w:type="character" w:customStyle="1" w:styleId="En-tteCar">
    <w:name w:val="En-tête Car"/>
    <w:basedOn w:val="Policepardfaut"/>
    <w:link w:val="En-tte"/>
    <w:uiPriority w:val="99"/>
    <w:locked/>
    <w:rsid w:val="00F95365"/>
    <w:rPr>
      <w:rFonts w:cs="Times New Roman"/>
    </w:rPr>
  </w:style>
  <w:style w:type="paragraph" w:styleId="Pieddepage">
    <w:name w:val="footer"/>
    <w:basedOn w:val="Normal"/>
    <w:link w:val="PieddepageCar"/>
    <w:uiPriority w:val="99"/>
    <w:rsid w:val="00F95365"/>
    <w:pPr>
      <w:tabs>
        <w:tab w:val="center" w:pos="4536"/>
        <w:tab w:val="right" w:pos="9072"/>
      </w:tabs>
    </w:pPr>
  </w:style>
  <w:style w:type="character" w:customStyle="1" w:styleId="PieddepageCar">
    <w:name w:val="Pied de page Car"/>
    <w:basedOn w:val="Policepardfaut"/>
    <w:link w:val="Pieddepage"/>
    <w:uiPriority w:val="99"/>
    <w:locked/>
    <w:rsid w:val="00F95365"/>
    <w:rPr>
      <w:rFonts w:cs="Times New Roman"/>
    </w:rPr>
  </w:style>
  <w:style w:type="character" w:styleId="Marquedecommentaire">
    <w:name w:val="annotation reference"/>
    <w:basedOn w:val="Policepardfaut"/>
    <w:uiPriority w:val="99"/>
    <w:semiHidden/>
    <w:rsid w:val="007448C0"/>
    <w:rPr>
      <w:rFonts w:cs="Times New Roman"/>
      <w:sz w:val="16"/>
      <w:szCs w:val="16"/>
    </w:rPr>
  </w:style>
  <w:style w:type="paragraph" w:styleId="Commentaire">
    <w:name w:val="annotation text"/>
    <w:basedOn w:val="Normal"/>
    <w:link w:val="CommentaireCar"/>
    <w:uiPriority w:val="99"/>
    <w:semiHidden/>
    <w:rsid w:val="007448C0"/>
    <w:rPr>
      <w:sz w:val="20"/>
      <w:szCs w:val="20"/>
    </w:rPr>
  </w:style>
  <w:style w:type="character" w:customStyle="1" w:styleId="CommentaireCar">
    <w:name w:val="Commentaire Car"/>
    <w:basedOn w:val="Policepardfaut"/>
    <w:link w:val="Commentaire"/>
    <w:uiPriority w:val="99"/>
    <w:semiHidden/>
    <w:locked/>
    <w:rsid w:val="007448C0"/>
    <w:rPr>
      <w:rFonts w:cs="Times New Roman"/>
      <w:sz w:val="20"/>
      <w:szCs w:val="20"/>
    </w:rPr>
  </w:style>
  <w:style w:type="paragraph" w:styleId="Objetducommentaire">
    <w:name w:val="annotation subject"/>
    <w:basedOn w:val="Commentaire"/>
    <w:next w:val="Commentaire"/>
    <w:link w:val="ObjetducommentaireCar"/>
    <w:uiPriority w:val="99"/>
    <w:semiHidden/>
    <w:rsid w:val="007448C0"/>
    <w:rPr>
      <w:b/>
      <w:bCs/>
    </w:rPr>
  </w:style>
  <w:style w:type="character" w:customStyle="1" w:styleId="ObjetducommentaireCar">
    <w:name w:val="Objet du commentaire Car"/>
    <w:basedOn w:val="CommentaireCar"/>
    <w:link w:val="Objetducommentaire"/>
    <w:uiPriority w:val="99"/>
    <w:semiHidden/>
    <w:locked/>
    <w:rsid w:val="007448C0"/>
    <w:rPr>
      <w:rFonts w:cs="Times New Roman"/>
      <w:b/>
      <w:bCs/>
      <w:sz w:val="20"/>
      <w:szCs w:val="20"/>
    </w:rPr>
  </w:style>
  <w:style w:type="paragraph" w:styleId="Textedebulles">
    <w:name w:val="Balloon Text"/>
    <w:basedOn w:val="Normal"/>
    <w:link w:val="TextedebullesCar"/>
    <w:uiPriority w:val="99"/>
    <w:semiHidden/>
    <w:rsid w:val="007448C0"/>
    <w:rPr>
      <w:rFonts w:ascii="Segoe UI" w:hAnsi="Segoe UI" w:cs="Segoe UI"/>
      <w:sz w:val="18"/>
      <w:szCs w:val="18"/>
    </w:rPr>
  </w:style>
  <w:style w:type="character" w:customStyle="1" w:styleId="TextedebullesCar">
    <w:name w:val="Texte de bulles Car"/>
    <w:basedOn w:val="Policepardfaut"/>
    <w:link w:val="Textedebulles"/>
    <w:uiPriority w:val="99"/>
    <w:semiHidden/>
    <w:locked/>
    <w:rsid w:val="007448C0"/>
    <w:rPr>
      <w:rFonts w:ascii="Segoe UI" w:hAnsi="Segoe UI" w:cs="Segoe UI"/>
      <w:sz w:val="18"/>
      <w:szCs w:val="18"/>
    </w:rPr>
  </w:style>
  <w:style w:type="paragraph" w:styleId="Rvision">
    <w:name w:val="Revision"/>
    <w:hidden/>
    <w:uiPriority w:val="99"/>
    <w:semiHidden/>
    <w:rsid w:val="00A26033"/>
    <w:rPr>
      <w:sz w:val="24"/>
      <w:szCs w:val="24"/>
      <w:lang w:eastAsia="en-US"/>
    </w:rPr>
  </w:style>
  <w:style w:type="character" w:customStyle="1" w:styleId="apple-converted-space">
    <w:name w:val="apple-converted-space"/>
    <w:basedOn w:val="Policepardfaut"/>
    <w:rsid w:val="0039793C"/>
  </w:style>
  <w:style w:type="character" w:styleId="Lienhypertexte">
    <w:name w:val="Hyperlink"/>
    <w:basedOn w:val="Policepardfaut"/>
    <w:uiPriority w:val="99"/>
    <w:semiHidden/>
    <w:unhideWhenUsed/>
    <w:rsid w:val="0039793C"/>
    <w:rPr>
      <w:color w:val="0000FF"/>
      <w:u w:val="single"/>
    </w:rPr>
  </w:style>
  <w:style w:type="character" w:styleId="Accentuation">
    <w:name w:val="Emphasis"/>
    <w:basedOn w:val="Policepardfaut"/>
    <w:uiPriority w:val="20"/>
    <w:qFormat/>
    <w:locked/>
    <w:rsid w:val="003941A6"/>
    <w:rPr>
      <w:i/>
      <w:iCs/>
    </w:rPr>
  </w:style>
  <w:style w:type="paragraph" w:styleId="NormalWeb">
    <w:name w:val="Normal (Web)"/>
    <w:basedOn w:val="Normal"/>
    <w:uiPriority w:val="99"/>
    <w:semiHidden/>
    <w:unhideWhenUsed/>
    <w:rsid w:val="00070674"/>
    <w:pPr>
      <w:spacing w:before="100" w:beforeAutospacing="1" w:after="100" w:afterAutospacing="1"/>
    </w:pPr>
    <w:rPr>
      <w:rFonts w:eastAsia="Times New Roman"/>
      <w:lang w:eastAsia="fr-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85083">
      <w:bodyDiv w:val="1"/>
      <w:marLeft w:val="0"/>
      <w:marRight w:val="0"/>
      <w:marTop w:val="0"/>
      <w:marBottom w:val="0"/>
      <w:divBdr>
        <w:top w:val="none" w:sz="0" w:space="0" w:color="auto"/>
        <w:left w:val="none" w:sz="0" w:space="0" w:color="auto"/>
        <w:bottom w:val="none" w:sz="0" w:space="0" w:color="auto"/>
        <w:right w:val="none" w:sz="0" w:space="0" w:color="auto"/>
      </w:divBdr>
    </w:div>
    <w:div w:id="229465688">
      <w:bodyDiv w:val="1"/>
      <w:marLeft w:val="0"/>
      <w:marRight w:val="0"/>
      <w:marTop w:val="0"/>
      <w:marBottom w:val="0"/>
      <w:divBdr>
        <w:top w:val="none" w:sz="0" w:space="0" w:color="auto"/>
        <w:left w:val="none" w:sz="0" w:space="0" w:color="auto"/>
        <w:bottom w:val="none" w:sz="0" w:space="0" w:color="auto"/>
        <w:right w:val="none" w:sz="0" w:space="0" w:color="auto"/>
      </w:divBdr>
    </w:div>
    <w:div w:id="366177772">
      <w:bodyDiv w:val="1"/>
      <w:marLeft w:val="0"/>
      <w:marRight w:val="0"/>
      <w:marTop w:val="0"/>
      <w:marBottom w:val="0"/>
      <w:divBdr>
        <w:top w:val="none" w:sz="0" w:space="0" w:color="auto"/>
        <w:left w:val="none" w:sz="0" w:space="0" w:color="auto"/>
        <w:bottom w:val="none" w:sz="0" w:space="0" w:color="auto"/>
        <w:right w:val="none" w:sz="0" w:space="0" w:color="auto"/>
      </w:divBdr>
    </w:div>
    <w:div w:id="523174008">
      <w:bodyDiv w:val="1"/>
      <w:marLeft w:val="0"/>
      <w:marRight w:val="0"/>
      <w:marTop w:val="0"/>
      <w:marBottom w:val="0"/>
      <w:divBdr>
        <w:top w:val="none" w:sz="0" w:space="0" w:color="auto"/>
        <w:left w:val="none" w:sz="0" w:space="0" w:color="auto"/>
        <w:bottom w:val="none" w:sz="0" w:space="0" w:color="auto"/>
        <w:right w:val="none" w:sz="0" w:space="0" w:color="auto"/>
      </w:divBdr>
    </w:div>
    <w:div w:id="579681073">
      <w:bodyDiv w:val="1"/>
      <w:marLeft w:val="0"/>
      <w:marRight w:val="0"/>
      <w:marTop w:val="0"/>
      <w:marBottom w:val="0"/>
      <w:divBdr>
        <w:top w:val="none" w:sz="0" w:space="0" w:color="auto"/>
        <w:left w:val="none" w:sz="0" w:space="0" w:color="auto"/>
        <w:bottom w:val="none" w:sz="0" w:space="0" w:color="auto"/>
        <w:right w:val="none" w:sz="0" w:space="0" w:color="auto"/>
      </w:divBdr>
    </w:div>
    <w:div w:id="681012368">
      <w:bodyDiv w:val="1"/>
      <w:marLeft w:val="0"/>
      <w:marRight w:val="0"/>
      <w:marTop w:val="0"/>
      <w:marBottom w:val="0"/>
      <w:divBdr>
        <w:top w:val="none" w:sz="0" w:space="0" w:color="auto"/>
        <w:left w:val="none" w:sz="0" w:space="0" w:color="auto"/>
        <w:bottom w:val="none" w:sz="0" w:space="0" w:color="auto"/>
        <w:right w:val="none" w:sz="0" w:space="0" w:color="auto"/>
      </w:divBdr>
    </w:div>
    <w:div w:id="687567212">
      <w:bodyDiv w:val="1"/>
      <w:marLeft w:val="0"/>
      <w:marRight w:val="0"/>
      <w:marTop w:val="0"/>
      <w:marBottom w:val="0"/>
      <w:divBdr>
        <w:top w:val="none" w:sz="0" w:space="0" w:color="auto"/>
        <w:left w:val="none" w:sz="0" w:space="0" w:color="auto"/>
        <w:bottom w:val="none" w:sz="0" w:space="0" w:color="auto"/>
        <w:right w:val="none" w:sz="0" w:space="0" w:color="auto"/>
      </w:divBdr>
    </w:div>
    <w:div w:id="879128308">
      <w:bodyDiv w:val="1"/>
      <w:marLeft w:val="0"/>
      <w:marRight w:val="0"/>
      <w:marTop w:val="0"/>
      <w:marBottom w:val="0"/>
      <w:divBdr>
        <w:top w:val="none" w:sz="0" w:space="0" w:color="auto"/>
        <w:left w:val="none" w:sz="0" w:space="0" w:color="auto"/>
        <w:bottom w:val="none" w:sz="0" w:space="0" w:color="auto"/>
        <w:right w:val="none" w:sz="0" w:space="0" w:color="auto"/>
      </w:divBdr>
    </w:div>
    <w:div w:id="1527862175">
      <w:bodyDiv w:val="1"/>
      <w:marLeft w:val="0"/>
      <w:marRight w:val="0"/>
      <w:marTop w:val="0"/>
      <w:marBottom w:val="0"/>
      <w:divBdr>
        <w:top w:val="none" w:sz="0" w:space="0" w:color="auto"/>
        <w:left w:val="none" w:sz="0" w:space="0" w:color="auto"/>
        <w:bottom w:val="none" w:sz="0" w:space="0" w:color="auto"/>
        <w:right w:val="none" w:sz="0" w:space="0" w:color="auto"/>
      </w:divBdr>
    </w:div>
    <w:div w:id="1735545967">
      <w:bodyDiv w:val="1"/>
      <w:marLeft w:val="0"/>
      <w:marRight w:val="0"/>
      <w:marTop w:val="0"/>
      <w:marBottom w:val="0"/>
      <w:divBdr>
        <w:top w:val="none" w:sz="0" w:space="0" w:color="auto"/>
        <w:left w:val="none" w:sz="0" w:space="0" w:color="auto"/>
        <w:bottom w:val="none" w:sz="0" w:space="0" w:color="auto"/>
        <w:right w:val="none" w:sz="0" w:space="0" w:color="auto"/>
      </w:divBdr>
    </w:div>
    <w:div w:id="18649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stagram.com/quillandpa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631</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 Rainbow of Color and Mechanics:</vt:lpstr>
      <vt:lpstr>A Rainbow of Color and Mechanics:</vt:lpstr>
    </vt:vector>
  </TitlesOfParts>
  <Company>Doerr Editorial Services</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Rainbow of Color and Mechanics:</dc:title>
  <dc:subject/>
  <dc:creator>Elizabeth Doerr</dc:creator>
  <cp:keywords/>
  <dc:description/>
  <cp:lastModifiedBy>Marc Wälti</cp:lastModifiedBy>
  <cp:revision>24</cp:revision>
  <cp:lastPrinted>2017-02-07T09:22:00Z</cp:lastPrinted>
  <dcterms:created xsi:type="dcterms:W3CDTF">2020-10-28T06:46:00Z</dcterms:created>
  <dcterms:modified xsi:type="dcterms:W3CDTF">2020-11-27T06:33:00Z</dcterms:modified>
</cp:coreProperties>
</file>