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27F4" w:rsidRDefault="001127F4">
      <w:pPr>
        <w:rPr>
          <w:rFonts w:ascii="Ministry-Bold" w:hAnsi="Ministry-Bold"/>
          <w:b/>
          <w:bCs/>
          <w:sz w:val="36"/>
          <w:szCs w:val="36"/>
          <w:lang w:val="es-MX"/>
        </w:rPr>
      </w:pPr>
    </w:p>
    <w:p w:rsidR="000C3A03" w:rsidRPr="00A50897" w:rsidRDefault="00FD4088" w:rsidP="00A50897">
      <w:pPr>
        <w:jc w:val="center"/>
        <w:rPr>
          <w:rFonts w:ascii="Ministry-Bold" w:eastAsiaTheme="minorEastAsia" w:hAnsi="Ministry-Bold"/>
          <w:b/>
          <w:bCs/>
          <w:sz w:val="36"/>
          <w:szCs w:val="36"/>
          <w:lang w:val="es-MX"/>
        </w:rPr>
      </w:pPr>
      <w:r w:rsidRPr="00A50897">
        <w:rPr>
          <w:rFonts w:ascii="Ministry-Bold" w:eastAsiaTheme="minorEastAsia" w:hAnsi="Ministry-Bold"/>
          <w:b/>
          <w:bCs/>
          <w:sz w:val="36"/>
          <w:szCs w:val="36"/>
          <w:lang w:val="es-MX"/>
        </w:rPr>
        <w:t>CORUM ADMIRAL BRONZE: UN</w:t>
      </w:r>
      <w:r w:rsidR="005A124A" w:rsidRPr="00A50897">
        <w:rPr>
          <w:rFonts w:ascii="Ministry-Bold" w:eastAsiaTheme="minorEastAsia" w:hAnsi="Ministry-Bold"/>
          <w:b/>
          <w:bCs/>
          <w:sz w:val="36"/>
          <w:szCs w:val="36"/>
          <w:lang w:val="es-MX"/>
        </w:rPr>
        <w:t xml:space="preserve"> </w:t>
      </w:r>
      <w:r w:rsidR="0047484C" w:rsidRPr="00A50897">
        <w:rPr>
          <w:rFonts w:ascii="Ministry-Bold" w:eastAsiaTheme="minorEastAsia" w:hAnsi="Ministry-Bold"/>
          <w:b/>
          <w:bCs/>
          <w:sz w:val="36"/>
          <w:szCs w:val="36"/>
          <w:lang w:val="es-MX"/>
        </w:rPr>
        <w:t>HOMENAJE</w:t>
      </w:r>
      <w:r w:rsidR="005A124A" w:rsidRPr="00A50897">
        <w:rPr>
          <w:rFonts w:ascii="Ministry-Bold" w:eastAsiaTheme="minorEastAsia" w:hAnsi="Ministry-Bold"/>
          <w:b/>
          <w:bCs/>
          <w:sz w:val="36"/>
          <w:szCs w:val="36"/>
          <w:lang w:val="es-MX"/>
        </w:rPr>
        <w:t xml:space="preserve"> A LOS </w:t>
      </w:r>
      <w:r w:rsidR="001471C4" w:rsidRPr="00A50897">
        <w:rPr>
          <w:rFonts w:ascii="Ministry-Bold" w:eastAsiaTheme="minorEastAsia" w:hAnsi="Ministry-Bold"/>
          <w:b/>
          <w:bCs/>
          <w:sz w:val="36"/>
          <w:szCs w:val="36"/>
          <w:lang w:val="es-MX"/>
        </w:rPr>
        <w:t>BARCOS</w:t>
      </w:r>
      <w:r w:rsidR="0047484C" w:rsidRPr="00A50897">
        <w:rPr>
          <w:rFonts w:ascii="Ministry-Bold" w:eastAsiaTheme="minorEastAsia" w:hAnsi="Ministry-Bold"/>
          <w:b/>
          <w:bCs/>
          <w:sz w:val="36"/>
          <w:szCs w:val="36"/>
          <w:lang w:val="es-MX"/>
        </w:rPr>
        <w:t xml:space="preserve"> ANTIGU</w:t>
      </w:r>
      <w:r w:rsidR="005A124A" w:rsidRPr="00A50897">
        <w:rPr>
          <w:rFonts w:ascii="Ministry-Bold" w:eastAsiaTheme="minorEastAsia" w:hAnsi="Ministry-Bold"/>
          <w:b/>
          <w:bCs/>
          <w:sz w:val="36"/>
          <w:szCs w:val="36"/>
          <w:lang w:val="es-MX"/>
        </w:rPr>
        <w:t>OS</w:t>
      </w:r>
    </w:p>
    <w:p w:rsidR="00A50897" w:rsidRPr="000537C5" w:rsidRDefault="00A50897" w:rsidP="005A124A">
      <w:pPr>
        <w:jc w:val="both"/>
        <w:rPr>
          <w:rFonts w:ascii="Century Gothic" w:eastAsia="PMingLiU" w:hAnsi="Century Gothic" w:cs="Times New Roman"/>
          <w:szCs w:val="22"/>
          <w:lang w:val="fr-CH" w:eastAsia="fr-FR" w:bidi="ar-SA"/>
        </w:rPr>
      </w:pPr>
    </w:p>
    <w:p w:rsidR="005A124A" w:rsidRDefault="005A124A" w:rsidP="005A124A">
      <w:pPr>
        <w:jc w:val="both"/>
        <w:rPr>
          <w:rFonts w:ascii="Century Gothic" w:eastAsia="PMingLiU" w:hAnsi="Century Gothic" w:cs="Times New Roman"/>
          <w:szCs w:val="22"/>
          <w:lang w:val="en-US" w:eastAsia="fr-FR" w:bidi="ar-SA"/>
        </w:rPr>
      </w:pPr>
      <w:r w:rsidRPr="00A50897">
        <w:rPr>
          <w:rFonts w:ascii="Century Gothic" w:eastAsia="PMingLiU" w:hAnsi="Century Gothic" w:cs="Times New Roman"/>
          <w:szCs w:val="22"/>
          <w:lang w:val="es-MX" w:eastAsia="fr-FR" w:bidi="ar-SA"/>
        </w:rPr>
        <w:t xml:space="preserve">Presentada en 1960, solo cinco años después de la creación de la marca, la colección Admiral encarna la herencia relojera marítima de Corum. </w:t>
      </w:r>
      <w:r w:rsidRPr="00A50897">
        <w:rPr>
          <w:rFonts w:ascii="Century Gothic" w:eastAsia="PMingLiU" w:hAnsi="Century Gothic" w:cs="Times New Roman"/>
          <w:szCs w:val="22"/>
          <w:lang w:val="en-US" w:eastAsia="fr-FR" w:bidi="ar-SA"/>
        </w:rPr>
        <w:t>Aunque siempre ha sido fiel a su ADN, Corum nunca ha tenido miedo de z</w:t>
      </w:r>
      <w:r w:rsidR="0047484C" w:rsidRPr="00A50897">
        <w:rPr>
          <w:rFonts w:ascii="Century Gothic" w:eastAsia="PMingLiU" w:hAnsi="Century Gothic" w:cs="Times New Roman"/>
          <w:szCs w:val="22"/>
          <w:lang w:val="en-US" w:eastAsia="fr-FR" w:bidi="ar-SA"/>
        </w:rPr>
        <w:t xml:space="preserve">arpar </w:t>
      </w:r>
      <w:r w:rsidR="001127F4" w:rsidRPr="00A50897">
        <w:rPr>
          <w:rFonts w:ascii="Century Gothic" w:eastAsia="PMingLiU" w:hAnsi="Century Gothic" w:cs="Times New Roman"/>
          <w:szCs w:val="22"/>
          <w:lang w:val="en-US" w:eastAsia="fr-FR" w:bidi="ar-SA"/>
        </w:rPr>
        <w:t>en</w:t>
      </w:r>
      <w:r w:rsidR="0047484C" w:rsidRPr="00A50897">
        <w:rPr>
          <w:rFonts w:ascii="Century Gothic" w:eastAsia="PMingLiU" w:hAnsi="Century Gothic" w:cs="Times New Roman"/>
          <w:szCs w:val="22"/>
          <w:lang w:val="en-US" w:eastAsia="fr-FR" w:bidi="ar-SA"/>
        </w:rPr>
        <w:t xml:space="preserve"> lugares distintos</w:t>
      </w:r>
      <w:r w:rsidR="004E61B4" w:rsidRPr="00A50897">
        <w:rPr>
          <w:rFonts w:ascii="Century Gothic" w:eastAsia="PMingLiU" w:hAnsi="Century Gothic" w:cs="Times New Roman"/>
          <w:szCs w:val="22"/>
          <w:lang w:val="en-US" w:eastAsia="fr-FR" w:bidi="ar-SA"/>
        </w:rPr>
        <w:t>. E</w:t>
      </w:r>
      <w:r w:rsidRPr="00A50897">
        <w:rPr>
          <w:rFonts w:ascii="Century Gothic" w:eastAsia="PMingLiU" w:hAnsi="Century Gothic" w:cs="Times New Roman"/>
          <w:szCs w:val="22"/>
          <w:lang w:val="en-US" w:eastAsia="fr-FR" w:bidi="ar-SA"/>
        </w:rPr>
        <w:t>s</w:t>
      </w:r>
      <w:r w:rsidR="001127F4" w:rsidRPr="00A50897">
        <w:rPr>
          <w:rFonts w:ascii="Century Gothic" w:eastAsia="PMingLiU" w:hAnsi="Century Gothic" w:cs="Times New Roman"/>
          <w:szCs w:val="22"/>
          <w:lang w:val="en-US" w:eastAsia="fr-FR" w:bidi="ar-SA"/>
        </w:rPr>
        <w:t>te es</w:t>
      </w:r>
      <w:r w:rsidRPr="00A50897">
        <w:rPr>
          <w:rFonts w:ascii="Century Gothic" w:eastAsia="PMingLiU" w:hAnsi="Century Gothic" w:cs="Times New Roman"/>
          <w:szCs w:val="22"/>
          <w:lang w:val="en-US" w:eastAsia="fr-FR" w:bidi="ar-SA"/>
        </w:rPr>
        <w:t xml:space="preserve"> el caso </w:t>
      </w:r>
      <w:r w:rsidR="00C119D7" w:rsidRPr="00A50897">
        <w:rPr>
          <w:rFonts w:ascii="Century Gothic" w:eastAsia="PMingLiU" w:hAnsi="Century Gothic" w:cs="Times New Roman"/>
          <w:szCs w:val="22"/>
          <w:lang w:val="en-US" w:eastAsia="fr-FR" w:bidi="ar-SA"/>
        </w:rPr>
        <w:t xml:space="preserve">del </w:t>
      </w:r>
      <w:r w:rsidRPr="00A50897">
        <w:rPr>
          <w:rFonts w:ascii="Century Gothic" w:eastAsia="PMingLiU" w:hAnsi="Century Gothic" w:cs="Times New Roman"/>
          <w:szCs w:val="22"/>
          <w:lang w:val="en-US" w:eastAsia="fr-FR" w:bidi="ar-SA"/>
        </w:rPr>
        <w:t>Admiral 42 Bronze, un</w:t>
      </w:r>
      <w:r w:rsidR="001127F4" w:rsidRPr="00A50897">
        <w:rPr>
          <w:rFonts w:ascii="Century Gothic" w:eastAsia="PMingLiU" w:hAnsi="Century Gothic" w:cs="Times New Roman"/>
          <w:szCs w:val="22"/>
          <w:lang w:val="en-US" w:eastAsia="fr-FR" w:bidi="ar-SA"/>
        </w:rPr>
        <w:t xml:space="preserve"> guarda tiempos que </w:t>
      </w:r>
      <w:r w:rsidRPr="00A50897">
        <w:rPr>
          <w:rFonts w:ascii="Century Gothic" w:eastAsia="PMingLiU" w:hAnsi="Century Gothic" w:cs="Times New Roman"/>
          <w:szCs w:val="22"/>
          <w:lang w:val="en-US" w:eastAsia="fr-FR" w:bidi="ar-SA"/>
        </w:rPr>
        <w:t>muestra tanto</w:t>
      </w:r>
      <w:r w:rsidR="001127F4" w:rsidRPr="00A50897">
        <w:rPr>
          <w:rFonts w:ascii="Century Gothic" w:eastAsia="PMingLiU" w:hAnsi="Century Gothic" w:cs="Times New Roman"/>
          <w:szCs w:val="22"/>
          <w:lang w:val="en-US" w:eastAsia="fr-FR" w:bidi="ar-SA"/>
        </w:rPr>
        <w:t xml:space="preserve"> el</w:t>
      </w:r>
      <w:r w:rsidR="004E61B4" w:rsidRPr="00A50897">
        <w:rPr>
          <w:rFonts w:ascii="Century Gothic" w:eastAsia="PMingLiU" w:hAnsi="Century Gothic" w:cs="Times New Roman"/>
          <w:szCs w:val="22"/>
          <w:lang w:val="en-US" w:eastAsia="fr-FR" w:bidi="ar-SA"/>
        </w:rPr>
        <w:t xml:space="preserve"> diseño náutico como </w:t>
      </w:r>
      <w:r w:rsidR="00110130" w:rsidRPr="00A50897">
        <w:rPr>
          <w:rFonts w:ascii="Century Gothic" w:eastAsia="PMingLiU" w:hAnsi="Century Gothic" w:cs="Times New Roman"/>
          <w:szCs w:val="22"/>
          <w:lang w:val="en-US" w:eastAsia="fr-FR" w:bidi="ar-SA"/>
        </w:rPr>
        <w:t xml:space="preserve">la mecánica de </w:t>
      </w:r>
      <w:r w:rsidR="00877F58" w:rsidRPr="00A50897">
        <w:rPr>
          <w:rFonts w:ascii="Century Gothic" w:eastAsia="PMingLiU" w:hAnsi="Century Gothic" w:cs="Times New Roman"/>
          <w:szCs w:val="22"/>
          <w:lang w:val="en-US" w:eastAsia="fr-FR" w:bidi="ar-SA"/>
        </w:rPr>
        <w:t>manufactura</w:t>
      </w:r>
      <w:r w:rsidR="0047484C" w:rsidRPr="00A50897">
        <w:rPr>
          <w:rFonts w:ascii="Century Gothic" w:eastAsia="PMingLiU" w:hAnsi="Century Gothic" w:cs="Times New Roman"/>
          <w:szCs w:val="22"/>
          <w:lang w:val="en-US" w:eastAsia="fr-FR" w:bidi="ar-SA"/>
        </w:rPr>
        <w:t>. E</w:t>
      </w:r>
      <w:r w:rsidRPr="00A50897">
        <w:rPr>
          <w:rFonts w:ascii="Century Gothic" w:eastAsia="PMingLiU" w:hAnsi="Century Gothic" w:cs="Times New Roman"/>
          <w:szCs w:val="22"/>
          <w:lang w:val="en-US" w:eastAsia="fr-FR" w:bidi="ar-SA"/>
        </w:rPr>
        <w:t>legante y deportiv</w:t>
      </w:r>
      <w:r w:rsidR="0047484C" w:rsidRPr="00A50897">
        <w:rPr>
          <w:rFonts w:ascii="Century Gothic" w:eastAsia="PMingLiU" w:hAnsi="Century Gothic" w:cs="Times New Roman"/>
          <w:szCs w:val="22"/>
          <w:lang w:val="en-US" w:eastAsia="fr-FR" w:bidi="ar-SA"/>
        </w:rPr>
        <w:t>o</w:t>
      </w:r>
      <w:r w:rsidRPr="00A50897">
        <w:rPr>
          <w:rFonts w:ascii="Century Gothic" w:eastAsia="PMingLiU" w:hAnsi="Century Gothic" w:cs="Times New Roman"/>
          <w:szCs w:val="22"/>
          <w:lang w:val="en-US" w:eastAsia="fr-FR" w:bidi="ar-SA"/>
        </w:rPr>
        <w:t>, la colección pres</w:t>
      </w:r>
      <w:r w:rsidR="00FD4088" w:rsidRPr="00A50897">
        <w:rPr>
          <w:rFonts w:ascii="Century Gothic" w:eastAsia="PMingLiU" w:hAnsi="Century Gothic" w:cs="Times New Roman"/>
          <w:szCs w:val="22"/>
          <w:lang w:val="en-US" w:eastAsia="fr-FR" w:bidi="ar-SA"/>
        </w:rPr>
        <w:t xml:space="preserve">enta dos nuevos modelos </w:t>
      </w:r>
      <w:r w:rsidR="001127F4" w:rsidRPr="00A50897">
        <w:rPr>
          <w:rFonts w:ascii="Century Gothic" w:eastAsia="PMingLiU" w:hAnsi="Century Gothic" w:cs="Times New Roman"/>
          <w:szCs w:val="22"/>
          <w:lang w:val="en-US" w:eastAsia="fr-FR" w:bidi="ar-SA"/>
        </w:rPr>
        <w:t>en caja de b</w:t>
      </w:r>
      <w:r w:rsidRPr="00A50897">
        <w:rPr>
          <w:rFonts w:ascii="Century Gothic" w:eastAsia="PMingLiU" w:hAnsi="Century Gothic" w:cs="Times New Roman"/>
          <w:szCs w:val="22"/>
          <w:lang w:val="en-US" w:eastAsia="fr-FR" w:bidi="ar-SA"/>
        </w:rPr>
        <w:t>ronce</w:t>
      </w:r>
      <w:r w:rsidR="00110130" w:rsidRPr="00A50897">
        <w:rPr>
          <w:rFonts w:ascii="Century Gothic" w:eastAsia="PMingLiU" w:hAnsi="Century Gothic" w:cs="Times New Roman"/>
          <w:szCs w:val="22"/>
          <w:lang w:val="en-US" w:eastAsia="fr-FR" w:bidi="ar-SA"/>
        </w:rPr>
        <w:t>,</w:t>
      </w:r>
      <w:r w:rsidRPr="00A50897">
        <w:rPr>
          <w:rFonts w:ascii="Century Gothic" w:eastAsia="PMingLiU" w:hAnsi="Century Gothic" w:cs="Times New Roman"/>
          <w:szCs w:val="22"/>
          <w:lang w:val="en-US" w:eastAsia="fr-FR" w:bidi="ar-SA"/>
        </w:rPr>
        <w:t xml:space="preserve"> </w:t>
      </w:r>
      <w:r w:rsidR="001127F4" w:rsidRPr="00A50897">
        <w:rPr>
          <w:rFonts w:ascii="Century Gothic" w:eastAsia="PMingLiU" w:hAnsi="Century Gothic" w:cs="Times New Roman"/>
          <w:szCs w:val="22"/>
          <w:lang w:val="en-US" w:eastAsia="fr-FR" w:bidi="ar-SA"/>
        </w:rPr>
        <w:t xml:space="preserve">en homenaje a la belleza y resistencia del material utilizado en los barcos antiguos. </w:t>
      </w:r>
    </w:p>
    <w:p w:rsidR="00A50897" w:rsidRDefault="00A50897">
      <w:pPr>
        <w:rPr>
          <w:rFonts w:ascii="Ministry-Bold" w:eastAsiaTheme="minorEastAsia" w:hAnsi="Ministry-Bold"/>
          <w:b/>
          <w:bCs/>
          <w:sz w:val="36"/>
          <w:szCs w:val="36"/>
          <w:lang w:val="en-US"/>
        </w:rPr>
      </w:pPr>
    </w:p>
    <w:p w:rsidR="005A124A" w:rsidRPr="00A50897" w:rsidRDefault="005A124A">
      <w:pPr>
        <w:rPr>
          <w:rFonts w:ascii="Ministry-Bold" w:eastAsiaTheme="minorEastAsia" w:hAnsi="Ministry-Bold"/>
          <w:b/>
          <w:bCs/>
          <w:sz w:val="36"/>
          <w:szCs w:val="36"/>
          <w:lang w:val="es-MX"/>
        </w:rPr>
      </w:pPr>
      <w:r w:rsidRPr="00A50897">
        <w:rPr>
          <w:rFonts w:ascii="Ministry-Bold" w:eastAsiaTheme="minorEastAsia" w:hAnsi="Ministry-Bold"/>
          <w:b/>
          <w:bCs/>
          <w:sz w:val="36"/>
          <w:szCs w:val="36"/>
          <w:lang w:val="es-MX"/>
        </w:rPr>
        <w:t>Un material vivo</w:t>
      </w:r>
    </w:p>
    <w:p w:rsidR="005A124A" w:rsidRDefault="005A124A" w:rsidP="00E7199D">
      <w:pPr>
        <w:jc w:val="both"/>
        <w:rPr>
          <w:rFonts w:ascii="Century Gothic" w:eastAsia="PMingLiU" w:hAnsi="Century Gothic" w:cs="Times New Roman"/>
          <w:szCs w:val="22"/>
          <w:lang w:val="en-US" w:eastAsia="fr-FR" w:bidi="ar-SA"/>
        </w:rPr>
      </w:pPr>
      <w:r w:rsidRPr="00A50897">
        <w:rPr>
          <w:rFonts w:ascii="Century Gothic" w:eastAsia="PMingLiU" w:hAnsi="Century Gothic" w:cs="Times New Roman"/>
          <w:szCs w:val="22"/>
          <w:lang w:val="es-MX" w:eastAsia="fr-FR" w:bidi="ar-SA"/>
        </w:rPr>
        <w:t>L</w:t>
      </w:r>
      <w:r w:rsidR="00E7199D" w:rsidRPr="00A50897">
        <w:rPr>
          <w:rFonts w:ascii="Century Gothic" w:eastAsia="PMingLiU" w:hAnsi="Century Gothic" w:cs="Times New Roman"/>
          <w:szCs w:val="22"/>
          <w:lang w:val="es-MX" w:eastAsia="fr-FR" w:bidi="ar-SA"/>
        </w:rPr>
        <w:t xml:space="preserve">a especial aleación de bronce utilizada en la caja y bisel evolucionará con el tiempo hasta obtener un terminado vintage. </w:t>
      </w:r>
      <w:r w:rsidR="00E7199D" w:rsidRPr="00A50897">
        <w:rPr>
          <w:rFonts w:ascii="Century Gothic" w:eastAsia="PMingLiU" w:hAnsi="Century Gothic" w:cs="Times New Roman"/>
          <w:szCs w:val="22"/>
          <w:lang w:val="en-US" w:eastAsia="fr-FR" w:bidi="ar-SA"/>
        </w:rPr>
        <w:t>Con el objetivo de hacerlo lo má</w:t>
      </w:r>
      <w:r w:rsidR="00C119D7" w:rsidRPr="00A50897">
        <w:rPr>
          <w:rFonts w:ascii="Century Gothic" w:eastAsia="PMingLiU" w:hAnsi="Century Gothic" w:cs="Times New Roman"/>
          <w:szCs w:val="22"/>
          <w:lang w:val="en-US" w:eastAsia="fr-FR" w:bidi="ar-SA"/>
        </w:rPr>
        <w:t>s homogéneo posible,</w:t>
      </w:r>
      <w:r w:rsidR="00E7199D" w:rsidRPr="00A50897">
        <w:rPr>
          <w:rFonts w:ascii="Century Gothic" w:eastAsia="PMingLiU" w:hAnsi="Century Gothic" w:cs="Times New Roman"/>
          <w:szCs w:val="22"/>
          <w:lang w:val="en-US" w:eastAsia="fr-FR" w:bidi="ar-SA"/>
        </w:rPr>
        <w:t xml:space="preserve"> se ha </w:t>
      </w:r>
      <w:r w:rsidR="00C119D7" w:rsidRPr="00A50897">
        <w:rPr>
          <w:rFonts w:ascii="Century Gothic" w:eastAsia="PMingLiU" w:hAnsi="Century Gothic" w:cs="Times New Roman"/>
          <w:szCs w:val="22"/>
          <w:lang w:val="en-US" w:eastAsia="fr-FR" w:bidi="ar-SA"/>
        </w:rPr>
        <w:t>incorporado u</w:t>
      </w:r>
      <w:r w:rsidR="00E7199D" w:rsidRPr="00A50897">
        <w:rPr>
          <w:rFonts w:ascii="Century Gothic" w:eastAsia="PMingLiU" w:hAnsi="Century Gothic" w:cs="Times New Roman"/>
          <w:szCs w:val="22"/>
          <w:lang w:val="en-US" w:eastAsia="fr-FR" w:bidi="ar-SA"/>
        </w:rPr>
        <w:t xml:space="preserve">n acabado satinado único en toda la caja, incluido el icónico bisel </w:t>
      </w:r>
      <w:r w:rsidRPr="00A50897">
        <w:rPr>
          <w:rFonts w:ascii="Century Gothic" w:eastAsia="PMingLiU" w:hAnsi="Century Gothic" w:cs="Times New Roman"/>
          <w:szCs w:val="22"/>
          <w:lang w:val="en-US" w:eastAsia="fr-FR" w:bidi="ar-SA"/>
        </w:rPr>
        <w:t>dodecagonal.</w:t>
      </w:r>
    </w:p>
    <w:p w:rsidR="005A124A" w:rsidRDefault="00FD4088" w:rsidP="005A124A">
      <w:pPr>
        <w:jc w:val="both"/>
        <w:rPr>
          <w:rFonts w:ascii="Century Gothic" w:eastAsia="PMingLiU" w:hAnsi="Century Gothic" w:cs="Times New Roman"/>
          <w:szCs w:val="22"/>
          <w:lang w:val="en-US" w:eastAsia="fr-FR" w:bidi="ar-SA"/>
        </w:rPr>
      </w:pPr>
      <w:r w:rsidRPr="00A50897">
        <w:rPr>
          <w:rFonts w:ascii="Century Gothic" w:eastAsia="PMingLiU" w:hAnsi="Century Gothic" w:cs="Times New Roman"/>
          <w:szCs w:val="22"/>
          <w:lang w:val="es-MX" w:eastAsia="fr-FR" w:bidi="ar-SA"/>
        </w:rPr>
        <w:t>Fiel a las</w:t>
      </w:r>
      <w:r w:rsidR="00110130" w:rsidRPr="00A50897">
        <w:rPr>
          <w:rFonts w:ascii="Century Gothic" w:eastAsia="PMingLiU" w:hAnsi="Century Gothic" w:cs="Times New Roman"/>
          <w:szCs w:val="22"/>
          <w:lang w:val="es-MX" w:eastAsia="fr-FR" w:bidi="ar-SA"/>
        </w:rPr>
        <w:t xml:space="preserve"> raíces náuticas</w:t>
      </w:r>
      <w:r w:rsidRPr="00A50897">
        <w:rPr>
          <w:rFonts w:ascii="Century Gothic" w:eastAsia="PMingLiU" w:hAnsi="Century Gothic" w:cs="Times New Roman"/>
          <w:szCs w:val="22"/>
          <w:lang w:val="es-MX" w:eastAsia="fr-FR" w:bidi="ar-SA"/>
        </w:rPr>
        <w:t xml:space="preserve"> de la colección Admiral,</w:t>
      </w:r>
      <w:r w:rsidR="005A124A" w:rsidRPr="00A50897">
        <w:rPr>
          <w:rFonts w:ascii="Century Gothic" w:eastAsia="PMingLiU" w:hAnsi="Century Gothic" w:cs="Times New Roman"/>
          <w:szCs w:val="22"/>
          <w:lang w:val="es-MX" w:eastAsia="fr-FR" w:bidi="ar-SA"/>
        </w:rPr>
        <w:t xml:space="preserve"> </w:t>
      </w:r>
      <w:r w:rsidR="00E7199D" w:rsidRPr="00A50897">
        <w:rPr>
          <w:rFonts w:ascii="Century Gothic" w:eastAsia="PMingLiU" w:hAnsi="Century Gothic" w:cs="Times New Roman"/>
          <w:szCs w:val="22"/>
          <w:lang w:val="es-MX" w:eastAsia="fr-FR" w:bidi="ar-SA"/>
        </w:rPr>
        <w:t xml:space="preserve">el modelo </w:t>
      </w:r>
      <w:r w:rsidR="005A124A" w:rsidRPr="00A50897">
        <w:rPr>
          <w:rFonts w:ascii="Century Gothic" w:eastAsia="PMingLiU" w:hAnsi="Century Gothic" w:cs="Times New Roman"/>
          <w:szCs w:val="22"/>
          <w:lang w:val="es-MX" w:eastAsia="fr-FR" w:bidi="ar-SA"/>
        </w:rPr>
        <w:t>presenta</w:t>
      </w:r>
      <w:r w:rsidRPr="00A50897">
        <w:rPr>
          <w:rFonts w:ascii="Century Gothic" w:eastAsia="PMingLiU" w:hAnsi="Century Gothic" w:cs="Times New Roman"/>
          <w:szCs w:val="22"/>
          <w:lang w:val="es-MX" w:eastAsia="fr-FR" w:bidi="ar-SA"/>
        </w:rPr>
        <w:t xml:space="preserve"> en </w:t>
      </w:r>
      <w:r w:rsidR="00E7199D" w:rsidRPr="00A50897">
        <w:rPr>
          <w:rFonts w:ascii="Century Gothic" w:eastAsia="PMingLiU" w:hAnsi="Century Gothic" w:cs="Times New Roman"/>
          <w:szCs w:val="22"/>
          <w:lang w:val="es-MX" w:eastAsia="fr-FR" w:bidi="ar-SA"/>
        </w:rPr>
        <w:t xml:space="preserve">la carátula </w:t>
      </w:r>
      <w:r w:rsidR="005A124A" w:rsidRPr="00A50897">
        <w:rPr>
          <w:rFonts w:ascii="Century Gothic" w:eastAsia="PMingLiU" w:hAnsi="Century Gothic" w:cs="Times New Roman"/>
          <w:szCs w:val="22"/>
          <w:lang w:val="es-MX" w:eastAsia="fr-FR" w:bidi="ar-SA"/>
        </w:rPr>
        <w:t xml:space="preserve">12 </w:t>
      </w:r>
      <w:r w:rsidR="00E7199D" w:rsidRPr="00A50897">
        <w:rPr>
          <w:rFonts w:ascii="Century Gothic" w:eastAsia="PMingLiU" w:hAnsi="Century Gothic" w:cs="Times New Roman"/>
          <w:szCs w:val="22"/>
          <w:lang w:val="es-MX" w:eastAsia="fr-FR" w:bidi="ar-SA"/>
        </w:rPr>
        <w:t xml:space="preserve">índices de </w:t>
      </w:r>
      <w:r w:rsidR="005A124A" w:rsidRPr="00A50897">
        <w:rPr>
          <w:rFonts w:ascii="Century Gothic" w:eastAsia="PMingLiU" w:hAnsi="Century Gothic" w:cs="Times New Roman"/>
          <w:szCs w:val="22"/>
          <w:lang w:val="es-MX" w:eastAsia="fr-FR" w:bidi="ar-SA"/>
        </w:rPr>
        <w:t>hora e</w:t>
      </w:r>
      <w:r w:rsidR="00E7199D" w:rsidRPr="00A50897">
        <w:rPr>
          <w:rFonts w:ascii="Century Gothic" w:eastAsia="PMingLiU" w:hAnsi="Century Gothic" w:cs="Times New Roman"/>
          <w:szCs w:val="22"/>
          <w:lang w:val="es-MX" w:eastAsia="fr-FR" w:bidi="ar-SA"/>
        </w:rPr>
        <w:t>n forma de gallardete</w:t>
      </w:r>
      <w:r w:rsidR="005A124A" w:rsidRPr="00A50897">
        <w:rPr>
          <w:rFonts w:ascii="Century Gothic" w:eastAsia="PMingLiU" w:hAnsi="Century Gothic" w:cs="Times New Roman"/>
          <w:szCs w:val="22"/>
          <w:lang w:val="es-MX" w:eastAsia="fr-FR" w:bidi="ar-SA"/>
        </w:rPr>
        <w:t xml:space="preserve">. </w:t>
      </w:r>
      <w:r w:rsidR="005A124A" w:rsidRPr="00A50897">
        <w:rPr>
          <w:rFonts w:ascii="Century Gothic" w:eastAsia="PMingLiU" w:hAnsi="Century Gothic" w:cs="Times New Roman"/>
          <w:szCs w:val="22"/>
          <w:lang w:val="en-US" w:eastAsia="fr-FR" w:bidi="ar-SA"/>
        </w:rPr>
        <w:t>La paleta de colores náuticos azul marino o verde marítimo</w:t>
      </w:r>
      <w:r w:rsidRPr="00A50897">
        <w:rPr>
          <w:rFonts w:ascii="Century Gothic" w:eastAsia="PMingLiU" w:hAnsi="Century Gothic" w:cs="Times New Roman"/>
          <w:szCs w:val="22"/>
          <w:lang w:val="en-US" w:eastAsia="fr-FR" w:bidi="ar-SA"/>
        </w:rPr>
        <w:t>,</w:t>
      </w:r>
      <w:r w:rsidR="005A124A" w:rsidRPr="00A50897">
        <w:rPr>
          <w:rFonts w:ascii="Century Gothic" w:eastAsia="PMingLiU" w:hAnsi="Century Gothic" w:cs="Times New Roman"/>
          <w:szCs w:val="22"/>
          <w:lang w:val="en-US" w:eastAsia="fr-FR" w:bidi="ar-SA"/>
        </w:rPr>
        <w:t xml:space="preserve"> encaja</w:t>
      </w:r>
      <w:r w:rsidRPr="00A50897">
        <w:rPr>
          <w:rFonts w:ascii="Century Gothic" w:eastAsia="PMingLiU" w:hAnsi="Century Gothic" w:cs="Times New Roman"/>
          <w:szCs w:val="22"/>
          <w:lang w:val="en-US" w:eastAsia="fr-FR" w:bidi="ar-SA"/>
        </w:rPr>
        <w:t>n</w:t>
      </w:r>
      <w:r w:rsidR="005A124A" w:rsidRPr="00A50897">
        <w:rPr>
          <w:rFonts w:ascii="Century Gothic" w:eastAsia="PMingLiU" w:hAnsi="Century Gothic" w:cs="Times New Roman"/>
          <w:szCs w:val="22"/>
          <w:lang w:val="en-US" w:eastAsia="fr-FR" w:bidi="ar-SA"/>
        </w:rPr>
        <w:t xml:space="preserve"> </w:t>
      </w:r>
      <w:r w:rsidR="00C119D7" w:rsidRPr="00A50897">
        <w:rPr>
          <w:rFonts w:ascii="Century Gothic" w:eastAsia="PMingLiU" w:hAnsi="Century Gothic" w:cs="Times New Roman"/>
          <w:szCs w:val="22"/>
          <w:lang w:val="en-US" w:eastAsia="fr-FR" w:bidi="ar-SA"/>
        </w:rPr>
        <w:t xml:space="preserve">a la perfección </w:t>
      </w:r>
      <w:r w:rsidR="004E61B4" w:rsidRPr="00A50897">
        <w:rPr>
          <w:rFonts w:ascii="Century Gothic" w:eastAsia="PMingLiU" w:hAnsi="Century Gothic" w:cs="Times New Roman"/>
          <w:szCs w:val="22"/>
          <w:lang w:val="en-US" w:eastAsia="fr-FR" w:bidi="ar-SA"/>
        </w:rPr>
        <w:t>con las correas de cocodrilo</w:t>
      </w:r>
      <w:r w:rsidR="00C119D7" w:rsidRPr="00A50897">
        <w:rPr>
          <w:rFonts w:ascii="Century Gothic" w:eastAsia="PMingLiU" w:hAnsi="Century Gothic" w:cs="Times New Roman"/>
          <w:szCs w:val="22"/>
          <w:lang w:val="en-US" w:eastAsia="fr-FR" w:bidi="ar-SA"/>
        </w:rPr>
        <w:t xml:space="preserve"> en colores asociados</w:t>
      </w:r>
      <w:r w:rsidR="004E61B4" w:rsidRPr="00A50897">
        <w:rPr>
          <w:rFonts w:ascii="Century Gothic" w:eastAsia="PMingLiU" w:hAnsi="Century Gothic" w:cs="Times New Roman"/>
          <w:szCs w:val="22"/>
          <w:lang w:val="en-US" w:eastAsia="fr-FR" w:bidi="ar-SA"/>
        </w:rPr>
        <w:t>.</w:t>
      </w:r>
    </w:p>
    <w:p w:rsidR="005A124A" w:rsidRPr="00A50897" w:rsidRDefault="005A124A" w:rsidP="005A124A">
      <w:pPr>
        <w:jc w:val="both"/>
        <w:rPr>
          <w:rFonts w:ascii="Century Gothic" w:eastAsia="PMingLiU" w:hAnsi="Century Gothic" w:cs="Times New Roman"/>
          <w:szCs w:val="22"/>
          <w:lang w:val="es-MX" w:eastAsia="fr-FR" w:bidi="ar-SA"/>
        </w:rPr>
      </w:pPr>
      <w:r w:rsidRPr="00A50897">
        <w:rPr>
          <w:rFonts w:ascii="Century Gothic" w:eastAsia="PMingLiU" w:hAnsi="Century Gothic" w:cs="Times New Roman"/>
          <w:szCs w:val="22"/>
          <w:lang w:val="es-MX" w:eastAsia="fr-FR" w:bidi="ar-SA"/>
        </w:rPr>
        <w:t>Equipado con un movimiento automático de Corum</w:t>
      </w:r>
      <w:r w:rsidR="0047484C" w:rsidRPr="00A50897">
        <w:rPr>
          <w:rFonts w:ascii="Century Gothic" w:eastAsia="PMingLiU" w:hAnsi="Century Gothic" w:cs="Times New Roman"/>
          <w:szCs w:val="22"/>
          <w:lang w:val="es-MX" w:eastAsia="fr-FR" w:bidi="ar-SA"/>
        </w:rPr>
        <w:t>,</w:t>
      </w:r>
      <w:r w:rsidR="00110130" w:rsidRPr="00A50897">
        <w:rPr>
          <w:rFonts w:ascii="Century Gothic" w:eastAsia="PMingLiU" w:hAnsi="Century Gothic" w:cs="Times New Roman"/>
          <w:szCs w:val="22"/>
          <w:lang w:val="es-MX" w:eastAsia="fr-FR" w:bidi="ar-SA"/>
        </w:rPr>
        <w:t xml:space="preserve"> </w:t>
      </w:r>
      <w:r w:rsidRPr="00A50897">
        <w:rPr>
          <w:rFonts w:ascii="Century Gothic" w:eastAsia="PMingLiU" w:hAnsi="Century Gothic" w:cs="Times New Roman"/>
          <w:szCs w:val="22"/>
          <w:lang w:val="es-MX" w:eastAsia="fr-FR" w:bidi="ar-SA"/>
        </w:rPr>
        <w:t xml:space="preserve">visible a través del </w:t>
      </w:r>
      <w:r w:rsidR="00C119D7" w:rsidRPr="00A50897">
        <w:rPr>
          <w:rFonts w:ascii="Century Gothic" w:eastAsia="PMingLiU" w:hAnsi="Century Gothic" w:cs="Times New Roman"/>
          <w:szCs w:val="22"/>
          <w:lang w:val="es-MX" w:eastAsia="fr-FR" w:bidi="ar-SA"/>
        </w:rPr>
        <w:t xml:space="preserve">cristal posterior </w:t>
      </w:r>
      <w:r w:rsidRPr="00A50897">
        <w:rPr>
          <w:rFonts w:ascii="Century Gothic" w:eastAsia="PMingLiU" w:hAnsi="Century Gothic" w:cs="Times New Roman"/>
          <w:szCs w:val="22"/>
          <w:lang w:val="es-MX" w:eastAsia="fr-FR" w:bidi="ar-SA"/>
        </w:rPr>
        <w:t xml:space="preserve">de zafiro, el reloj </w:t>
      </w:r>
      <w:r w:rsidR="004E61B4" w:rsidRPr="00A50897">
        <w:rPr>
          <w:rFonts w:ascii="Century Gothic" w:eastAsia="PMingLiU" w:hAnsi="Century Gothic" w:cs="Times New Roman"/>
          <w:szCs w:val="22"/>
          <w:lang w:val="es-MX" w:eastAsia="fr-FR" w:bidi="ar-SA"/>
        </w:rPr>
        <w:t>muestra</w:t>
      </w:r>
      <w:r w:rsidRPr="00A50897">
        <w:rPr>
          <w:rFonts w:ascii="Century Gothic" w:eastAsia="PMingLiU" w:hAnsi="Century Gothic" w:cs="Times New Roman"/>
          <w:szCs w:val="22"/>
          <w:lang w:val="es-MX" w:eastAsia="fr-FR" w:bidi="ar-SA"/>
        </w:rPr>
        <w:t xml:space="preserve"> </w:t>
      </w:r>
      <w:r w:rsidR="00CC373A" w:rsidRPr="00A50897">
        <w:rPr>
          <w:rFonts w:ascii="Century Gothic" w:eastAsia="PMingLiU" w:hAnsi="Century Gothic" w:cs="Times New Roman"/>
          <w:szCs w:val="22"/>
          <w:lang w:val="es-MX" w:eastAsia="fr-FR" w:bidi="ar-SA"/>
        </w:rPr>
        <w:t>los</w:t>
      </w:r>
      <w:r w:rsidRPr="00A50897">
        <w:rPr>
          <w:rFonts w:ascii="Century Gothic" w:eastAsia="PMingLiU" w:hAnsi="Century Gothic" w:cs="Times New Roman"/>
          <w:szCs w:val="22"/>
          <w:lang w:val="es-MX" w:eastAsia="fr-FR" w:bidi="ar-SA"/>
        </w:rPr>
        <w:t xml:space="preserve"> segundo</w:t>
      </w:r>
      <w:r w:rsidR="00CC373A" w:rsidRPr="00A50897">
        <w:rPr>
          <w:rFonts w:ascii="Century Gothic" w:eastAsia="PMingLiU" w:hAnsi="Century Gothic" w:cs="Times New Roman"/>
          <w:szCs w:val="22"/>
          <w:lang w:val="es-MX" w:eastAsia="fr-FR" w:bidi="ar-SA"/>
        </w:rPr>
        <w:t>s a las 6 y el</w:t>
      </w:r>
      <w:r w:rsidRPr="00A50897">
        <w:rPr>
          <w:rFonts w:ascii="Century Gothic" w:eastAsia="PMingLiU" w:hAnsi="Century Gothic" w:cs="Times New Roman"/>
          <w:szCs w:val="22"/>
          <w:lang w:val="es-MX" w:eastAsia="fr-FR" w:bidi="ar-SA"/>
        </w:rPr>
        <w:t xml:space="preserve"> fecha</w:t>
      </w:r>
      <w:r w:rsidR="00CC373A" w:rsidRPr="00A50897">
        <w:rPr>
          <w:rFonts w:ascii="Century Gothic" w:eastAsia="PMingLiU" w:hAnsi="Century Gothic" w:cs="Times New Roman"/>
          <w:szCs w:val="22"/>
          <w:lang w:val="es-MX" w:eastAsia="fr-FR" w:bidi="ar-SA"/>
        </w:rPr>
        <w:t>dor</w:t>
      </w:r>
      <w:r w:rsidR="00C119D7" w:rsidRPr="00A50897">
        <w:rPr>
          <w:rFonts w:ascii="Century Gothic" w:eastAsia="PMingLiU" w:hAnsi="Century Gothic" w:cs="Times New Roman"/>
          <w:szCs w:val="22"/>
          <w:lang w:val="es-MX" w:eastAsia="fr-FR" w:bidi="ar-SA"/>
        </w:rPr>
        <w:t xml:space="preserve"> a las 3</w:t>
      </w:r>
      <w:r w:rsidRPr="00A50897">
        <w:rPr>
          <w:rFonts w:ascii="Century Gothic" w:eastAsia="PMingLiU" w:hAnsi="Century Gothic" w:cs="Times New Roman"/>
          <w:szCs w:val="22"/>
          <w:lang w:val="es-MX" w:eastAsia="fr-FR" w:bidi="ar-SA"/>
        </w:rPr>
        <w:t>.</w:t>
      </w:r>
    </w:p>
    <w:p w:rsidR="005A124A" w:rsidRPr="00A50897" w:rsidRDefault="00C119D7" w:rsidP="005A124A">
      <w:pPr>
        <w:jc w:val="both"/>
        <w:rPr>
          <w:rFonts w:ascii="Century Gothic" w:eastAsia="PMingLiU" w:hAnsi="Century Gothic" w:cs="Times New Roman"/>
          <w:szCs w:val="22"/>
          <w:lang w:val="en-US" w:eastAsia="fr-FR" w:bidi="ar-SA"/>
        </w:rPr>
      </w:pPr>
      <w:r w:rsidRPr="00A50897">
        <w:rPr>
          <w:rFonts w:ascii="Century Gothic" w:eastAsia="PMingLiU" w:hAnsi="Century Gothic" w:cs="Times New Roman"/>
          <w:szCs w:val="22"/>
          <w:lang w:val="en-US" w:eastAsia="fr-FR" w:bidi="ar-SA"/>
        </w:rPr>
        <w:t xml:space="preserve">Con resistencia al </w:t>
      </w:r>
      <w:r w:rsidR="005A124A" w:rsidRPr="00A50897">
        <w:rPr>
          <w:rFonts w:ascii="Century Gothic" w:eastAsia="PMingLiU" w:hAnsi="Century Gothic" w:cs="Times New Roman"/>
          <w:szCs w:val="22"/>
          <w:lang w:val="en-US" w:eastAsia="fr-FR" w:bidi="ar-SA"/>
        </w:rPr>
        <w:t>agua hasta 50 metros, el Admiral 42 Bronze es el reloj perfecto para todos los aficionados a la navegación.</w:t>
      </w:r>
    </w:p>
    <w:p w:rsidR="001127F4" w:rsidRDefault="001127F4" w:rsidP="005A124A">
      <w:pPr>
        <w:jc w:val="both"/>
        <w:rPr>
          <w:lang w:val="es-MX"/>
        </w:rPr>
      </w:pPr>
    </w:p>
    <w:p w:rsidR="00A50897" w:rsidRDefault="00A50897" w:rsidP="005A124A">
      <w:pPr>
        <w:jc w:val="both"/>
        <w:rPr>
          <w:lang w:val="es-MX"/>
        </w:rPr>
      </w:pPr>
    </w:p>
    <w:p w:rsidR="00A50897" w:rsidRDefault="00A50897" w:rsidP="005A124A">
      <w:pPr>
        <w:jc w:val="both"/>
        <w:rPr>
          <w:lang w:val="es-MX"/>
        </w:rPr>
      </w:pPr>
    </w:p>
    <w:p w:rsidR="00A50897" w:rsidRDefault="00A50897" w:rsidP="005A124A">
      <w:pPr>
        <w:jc w:val="both"/>
        <w:rPr>
          <w:lang w:val="es-MX"/>
        </w:rPr>
      </w:pPr>
    </w:p>
    <w:p w:rsidR="00A50897" w:rsidRDefault="00A50897" w:rsidP="005A124A">
      <w:pPr>
        <w:jc w:val="both"/>
        <w:rPr>
          <w:lang w:val="es-MX"/>
        </w:rPr>
      </w:pPr>
    </w:p>
    <w:p w:rsidR="00A50897" w:rsidRDefault="00A50897" w:rsidP="005A124A">
      <w:pPr>
        <w:jc w:val="both"/>
        <w:rPr>
          <w:lang w:val="es-MX"/>
        </w:rPr>
      </w:pPr>
    </w:p>
    <w:p w:rsidR="00A50897" w:rsidRDefault="00A50897" w:rsidP="005A124A">
      <w:pPr>
        <w:jc w:val="both"/>
        <w:rPr>
          <w:lang w:val="es-MX"/>
        </w:rPr>
      </w:pPr>
    </w:p>
    <w:p w:rsidR="000537C5" w:rsidRDefault="000537C5" w:rsidP="00A50897">
      <w:pPr>
        <w:jc w:val="both"/>
        <w:rPr>
          <w:rFonts w:ascii="Century Gothic" w:hAnsi="Century Gothic"/>
          <w:b/>
          <w:sz w:val="24"/>
          <w:lang w:val="es-MX"/>
        </w:rPr>
      </w:pPr>
    </w:p>
    <w:p w:rsidR="00A50897" w:rsidRPr="00975EB1" w:rsidRDefault="00A50897" w:rsidP="00A50897">
      <w:pPr>
        <w:jc w:val="both"/>
        <w:rPr>
          <w:rFonts w:ascii="Century Gothic" w:hAnsi="Century Gothic"/>
          <w:b/>
          <w:sz w:val="24"/>
          <w:lang w:val="es-MX"/>
        </w:rPr>
      </w:pPr>
      <w:r w:rsidRPr="00975EB1">
        <w:rPr>
          <w:rFonts w:ascii="Century Gothic" w:hAnsi="Century Gothic"/>
          <w:b/>
          <w:sz w:val="24"/>
          <w:lang w:val="es-MX"/>
        </w:rPr>
        <w:t>Acerca de CORUM</w:t>
      </w:r>
    </w:p>
    <w:p w:rsidR="00A50897" w:rsidRPr="00933E91" w:rsidRDefault="00A50897" w:rsidP="00A50897">
      <w:pPr>
        <w:jc w:val="both"/>
        <w:rPr>
          <w:rFonts w:ascii="Century Gothic" w:hAnsi="Century Gothic"/>
          <w:szCs w:val="22"/>
          <w:lang w:val="es-ES"/>
        </w:rPr>
      </w:pPr>
      <w:r w:rsidRPr="00933E91">
        <w:rPr>
          <w:rFonts w:ascii="Century Gothic" w:hAnsi="Century Gothic"/>
          <w:szCs w:val="22"/>
          <w:lang w:val="es-ES"/>
        </w:rPr>
        <w:t xml:space="preserve">Fundada en 1955, Corum representa </w:t>
      </w:r>
      <w:r w:rsidR="00975EB1">
        <w:rPr>
          <w:rFonts w:ascii="Century Gothic" w:hAnsi="Century Gothic"/>
          <w:szCs w:val="22"/>
          <w:lang w:val="es-ES"/>
        </w:rPr>
        <w:t xml:space="preserve">la relojería creativa y atrevida. </w:t>
      </w:r>
      <w:r w:rsidRPr="00933E91">
        <w:rPr>
          <w:rFonts w:ascii="Century Gothic" w:hAnsi="Century Gothic"/>
          <w:szCs w:val="22"/>
          <w:lang w:val="es-ES"/>
        </w:rPr>
        <w:t xml:space="preserve">Corum utiliza un enfoque libre de dogmas que permite una </w:t>
      </w:r>
      <w:r>
        <w:rPr>
          <w:rFonts w:ascii="Century Gothic" w:hAnsi="Century Gothic"/>
          <w:szCs w:val="22"/>
          <w:lang w:val="es-ES"/>
        </w:rPr>
        <w:t>re</w:t>
      </w:r>
      <w:r w:rsidR="00975EB1">
        <w:rPr>
          <w:rFonts w:ascii="Century Gothic" w:hAnsi="Century Gothic"/>
          <w:szCs w:val="22"/>
          <w:lang w:val="es-ES"/>
        </w:rPr>
        <w:t>-</w:t>
      </w:r>
      <w:r w:rsidRPr="00933E91">
        <w:rPr>
          <w:rFonts w:ascii="Century Gothic" w:hAnsi="Century Gothic"/>
          <w:szCs w:val="22"/>
          <w:lang w:val="es-ES"/>
        </w:rPr>
        <w:t xml:space="preserve">conceptualización en la construcción de su movimiento, su caja y las </w:t>
      </w:r>
      <w:r w:rsidR="00975EB1">
        <w:rPr>
          <w:rFonts w:ascii="Century Gothic" w:hAnsi="Century Gothic"/>
          <w:szCs w:val="22"/>
          <w:lang w:val="es-ES"/>
        </w:rPr>
        <w:t xml:space="preserve">intervenciones artísticas que iluminan la carátula. </w:t>
      </w:r>
      <w:r w:rsidRPr="00933E91">
        <w:rPr>
          <w:rFonts w:ascii="Century Gothic" w:hAnsi="Century Gothic"/>
          <w:szCs w:val="22"/>
          <w:lang w:val="es-ES"/>
        </w:rPr>
        <w:t>Detrás de los muchos logros técnicos (movimiento baguette) y logros estéticos (Coin Watch, Feather, Bubble), Corum continúa con la tradición de la alta relojería que se adelanta a su tiempo.</w:t>
      </w:r>
    </w:p>
    <w:p w:rsidR="00A50897" w:rsidRPr="00933E91" w:rsidRDefault="00A50897" w:rsidP="00A50897">
      <w:pPr>
        <w:jc w:val="both"/>
        <w:rPr>
          <w:rFonts w:ascii="Century Gothic" w:hAnsi="Century Gothic"/>
          <w:szCs w:val="22"/>
          <w:lang w:val="es-ES"/>
        </w:rPr>
      </w:pPr>
      <w:r w:rsidRPr="00933E91">
        <w:rPr>
          <w:rFonts w:ascii="Century Gothic" w:hAnsi="Century Gothic"/>
          <w:szCs w:val="22"/>
          <w:lang w:val="es-ES"/>
        </w:rPr>
        <w:t>Establecida en La Chaux-de-Fonds, Corum se abre al mundo contemporáneo, al arte callejero, al mundo del arte clásico y al hacerlo atrae toda la atención de los creadores en tendencias. Al mismo tiempo disruptivo pero respetuoso de su herencia relojera, Corum mantiene su estatus de marca dirigida a coleccionistas exigentes de relojes no convencionales. Corum se basa actualmente en cinco colecciones que encarnan su visión de la relojería del siglo XXI: Admiral, Golden Bridge, Heritage, Lab y Bubble.</w:t>
      </w:r>
    </w:p>
    <w:p w:rsidR="00A50897" w:rsidRDefault="00A50897" w:rsidP="005A124A">
      <w:pPr>
        <w:jc w:val="both"/>
        <w:rPr>
          <w:lang w:val="es-ES"/>
        </w:rPr>
      </w:pPr>
    </w:p>
    <w:p w:rsidR="00A50897" w:rsidRPr="00A50897" w:rsidRDefault="00A50897" w:rsidP="005A124A">
      <w:pPr>
        <w:jc w:val="both"/>
        <w:rPr>
          <w:lang w:val="es-MX"/>
        </w:rPr>
      </w:pPr>
    </w:p>
    <w:sectPr w:rsidR="00A50897" w:rsidRPr="00A50897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08D8" w:rsidRDefault="004E08D8" w:rsidP="001127F4">
      <w:pPr>
        <w:spacing w:after="0"/>
      </w:pPr>
      <w:r>
        <w:separator/>
      </w:r>
    </w:p>
  </w:endnote>
  <w:endnote w:type="continuationSeparator" w:id="0">
    <w:p w:rsidR="004E08D8" w:rsidRDefault="004E08D8" w:rsidP="001127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aramond">
    <w:altName w:val="Times New Roman"/>
    <w:panose1 w:val="020B0604020202020204"/>
    <w:charset w:val="00"/>
    <w:family w:val="auto"/>
    <w:pitch w:val="variable"/>
    <w:sig w:usb0="03000003" w:usb1="00000000" w:usb2="00000000" w:usb3="00000000" w:csb0="0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inistry-Bold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08D8" w:rsidRDefault="004E08D8" w:rsidP="001127F4">
      <w:pPr>
        <w:spacing w:after="0"/>
      </w:pPr>
      <w:r>
        <w:separator/>
      </w:r>
    </w:p>
  </w:footnote>
  <w:footnote w:type="continuationSeparator" w:id="0">
    <w:p w:rsidR="004E08D8" w:rsidRDefault="004E08D8" w:rsidP="001127F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27F4" w:rsidRDefault="001127F4" w:rsidP="001127F4">
    <w:pPr>
      <w:pStyle w:val="En-tte"/>
      <w:jc w:val="center"/>
    </w:pPr>
    <w:r>
      <w:rPr>
        <w:noProof/>
        <w:lang w:val="es-MX" w:eastAsia="es-MX" w:bidi="ar-SA"/>
      </w:rPr>
      <w:drawing>
        <wp:inline distT="0" distB="0" distL="0" distR="0" wp14:anchorId="59103859" wp14:editId="5E4EA4F1">
          <wp:extent cx="1477107" cy="897139"/>
          <wp:effectExtent l="0" t="0" r="0" b="508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ORUM_LOGO_AVANTGARDE_LOCKUP_BLACK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3548" cy="9131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124A"/>
    <w:rsid w:val="000537C5"/>
    <w:rsid w:val="00110130"/>
    <w:rsid w:val="001127F4"/>
    <w:rsid w:val="001471C4"/>
    <w:rsid w:val="0021227A"/>
    <w:rsid w:val="00214327"/>
    <w:rsid w:val="002E482F"/>
    <w:rsid w:val="0047484C"/>
    <w:rsid w:val="004E08D8"/>
    <w:rsid w:val="004E61B4"/>
    <w:rsid w:val="005A124A"/>
    <w:rsid w:val="00877F58"/>
    <w:rsid w:val="00975EB1"/>
    <w:rsid w:val="00A50897"/>
    <w:rsid w:val="00C119D7"/>
    <w:rsid w:val="00CC373A"/>
    <w:rsid w:val="00DC669A"/>
    <w:rsid w:val="00E7199D"/>
    <w:rsid w:val="00E80C91"/>
    <w:rsid w:val="00FD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81449"/>
  <w15:chartTrackingRefBased/>
  <w15:docId w15:val="{AFD9D8A3-877E-4E9B-A31C-B358E7FF0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124A"/>
    <w:pPr>
      <w:spacing w:after="200" w:line="240" w:lineRule="auto"/>
    </w:pPr>
    <w:rPr>
      <w:rFonts w:ascii="Calibri" w:hAnsi="Calibri"/>
      <w:szCs w:val="24"/>
      <w:lang w:val="en-GB" w:eastAsia="en-GB" w:bidi="en-GB"/>
    </w:rPr>
  </w:style>
  <w:style w:type="paragraph" w:styleId="Titre1">
    <w:name w:val="heading 1"/>
    <w:basedOn w:val="Normal"/>
    <w:next w:val="Normal"/>
    <w:link w:val="Titre1Car"/>
    <w:qFormat/>
    <w:rsid w:val="00A50897"/>
    <w:pPr>
      <w:keepNext/>
      <w:spacing w:after="0"/>
      <w:outlineLvl w:val="0"/>
    </w:pPr>
    <w:rPr>
      <w:rFonts w:ascii="AGaramond" w:eastAsia="Times" w:hAnsi="AGaramond" w:cs="Times New Roman"/>
      <w:b/>
      <w:sz w:val="32"/>
      <w:szCs w:val="20"/>
      <w:lang w:val="en-US" w:eastAsia="fr-FR" w:bidi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127F4"/>
    <w:pPr>
      <w:tabs>
        <w:tab w:val="center" w:pos="4419"/>
        <w:tab w:val="right" w:pos="8838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1127F4"/>
    <w:rPr>
      <w:rFonts w:ascii="Calibri" w:hAnsi="Calibri"/>
      <w:szCs w:val="24"/>
      <w:lang w:val="en-GB" w:eastAsia="en-GB" w:bidi="en-GB"/>
    </w:rPr>
  </w:style>
  <w:style w:type="paragraph" w:styleId="Pieddepage">
    <w:name w:val="footer"/>
    <w:basedOn w:val="Normal"/>
    <w:link w:val="PieddepageCar"/>
    <w:uiPriority w:val="99"/>
    <w:unhideWhenUsed/>
    <w:rsid w:val="001127F4"/>
    <w:pPr>
      <w:tabs>
        <w:tab w:val="center" w:pos="4419"/>
        <w:tab w:val="right" w:pos="8838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1127F4"/>
    <w:rPr>
      <w:rFonts w:ascii="Calibri" w:hAnsi="Calibri"/>
      <w:szCs w:val="24"/>
      <w:lang w:val="en-GB" w:eastAsia="en-GB" w:bidi="en-GB"/>
    </w:rPr>
  </w:style>
  <w:style w:type="character" w:customStyle="1" w:styleId="tlid-translation">
    <w:name w:val="tlid-translation"/>
    <w:basedOn w:val="Policepardfaut"/>
    <w:rsid w:val="001127F4"/>
  </w:style>
  <w:style w:type="character" w:customStyle="1" w:styleId="Titre1Car">
    <w:name w:val="Titre 1 Car"/>
    <w:basedOn w:val="Policepardfaut"/>
    <w:link w:val="Titre1"/>
    <w:rsid w:val="00A50897"/>
    <w:rPr>
      <w:rFonts w:ascii="AGaramond" w:eastAsia="Times" w:hAnsi="AGaramond" w:cs="Times New Roman"/>
      <w:b/>
      <w:sz w:val="32"/>
      <w:szCs w:val="20"/>
      <w:lang w:val="en-US" w:eastAsia="fr-FR"/>
    </w:rPr>
  </w:style>
  <w:style w:type="paragraph" w:styleId="Corpsdetexte">
    <w:name w:val="Body Text"/>
    <w:basedOn w:val="Normal"/>
    <w:link w:val="CorpsdetexteCar"/>
    <w:uiPriority w:val="99"/>
    <w:unhideWhenUsed/>
    <w:rsid w:val="00A5089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val="fr-CH" w:eastAsia="fr-FR" w:bidi="ar-SA"/>
    </w:rPr>
  </w:style>
  <w:style w:type="character" w:customStyle="1" w:styleId="CorpsdetexteCar">
    <w:name w:val="Corps de texte Car"/>
    <w:basedOn w:val="Policepardfaut"/>
    <w:link w:val="Corpsdetexte"/>
    <w:uiPriority w:val="99"/>
    <w:rsid w:val="00A50897"/>
    <w:rPr>
      <w:rFonts w:ascii="Times New Roman" w:eastAsia="Times New Roman" w:hAnsi="Times New Roman" w:cs="Times New Roman"/>
      <w:sz w:val="24"/>
      <w:szCs w:val="24"/>
      <w:lang w:val="fr-CH" w:eastAsia="fr-FR"/>
    </w:rPr>
  </w:style>
  <w:style w:type="paragraph" w:styleId="Sansinterligne">
    <w:name w:val="No Spacing"/>
    <w:uiPriority w:val="1"/>
    <w:qFormat/>
    <w:rsid w:val="00A50897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92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2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03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29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783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998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967605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4781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0091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7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264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71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85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370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Bandera</dc:creator>
  <cp:keywords/>
  <dc:description/>
  <cp:lastModifiedBy>c.biessy@dotscomms.com</cp:lastModifiedBy>
  <cp:revision>3</cp:revision>
  <cp:lastPrinted>2020-04-27T06:57:00Z</cp:lastPrinted>
  <dcterms:created xsi:type="dcterms:W3CDTF">2020-04-27T06:57:00Z</dcterms:created>
  <dcterms:modified xsi:type="dcterms:W3CDTF">2020-04-27T06:57:00Z</dcterms:modified>
</cp:coreProperties>
</file>